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4B6046CD" w:rsidR="00067548" w:rsidRPr="000404EF" w:rsidRDefault="00067548" w:rsidP="00067548">
      <w:pPr>
        <w:pStyle w:val="3GPPHeader"/>
        <w:spacing w:after="60"/>
      </w:pPr>
      <w:r w:rsidRPr="000404EF">
        <w:t>3GPP TSG-RAN WG2</w:t>
      </w:r>
      <w:r w:rsidR="00502773">
        <w:t xml:space="preserve"> #97</w:t>
      </w:r>
      <w:r w:rsidRPr="000404EF">
        <w:tab/>
        <w:t xml:space="preserve">Tdoc </w:t>
      </w:r>
      <w:bookmarkStart w:id="0" w:name="_GoBack"/>
      <w:r w:rsidR="002A50D7" w:rsidRPr="002A50D7">
        <w:rPr>
          <w:bCs/>
        </w:rPr>
        <w:t>R2-1700860</w:t>
      </w:r>
      <w:bookmarkEnd w:id="0"/>
    </w:p>
    <w:p w14:paraId="34D94E32" w14:textId="4944670D" w:rsidR="00067548" w:rsidRPr="006B67CF" w:rsidRDefault="007146AF" w:rsidP="00067548">
      <w:pPr>
        <w:pStyle w:val="3GPPHeader"/>
        <w:spacing w:after="60"/>
        <w:rPr>
          <w:b w:val="0"/>
          <w:noProof/>
        </w:rPr>
      </w:pPr>
      <w:r>
        <w:t>Athens</w:t>
      </w:r>
      <w:r w:rsidR="00067548" w:rsidRPr="00910EE8">
        <w:t xml:space="preserve">, </w:t>
      </w:r>
      <w:r>
        <w:t>Greece</w:t>
      </w:r>
      <w:r w:rsidR="00067548" w:rsidRPr="00910EE8">
        <w:t>, 1</w:t>
      </w:r>
      <w:r>
        <w:t>3</w:t>
      </w:r>
      <w:r w:rsidR="00067548" w:rsidRPr="00910EE8">
        <w:rPr>
          <w:vertAlign w:val="superscript"/>
        </w:rPr>
        <w:t>th</w:t>
      </w:r>
      <w:r w:rsidR="00067548">
        <w:t xml:space="preserve"> </w:t>
      </w:r>
      <w:r w:rsidR="00067548" w:rsidRPr="00910EE8">
        <w:t>– 1</w:t>
      </w:r>
      <w:r>
        <w:t>7</w:t>
      </w:r>
      <w:r w:rsidR="00067548" w:rsidRPr="00910EE8">
        <w:rPr>
          <w:vertAlign w:val="superscript"/>
        </w:rPr>
        <w:t>th</w:t>
      </w:r>
      <w:r w:rsidR="00067548">
        <w:t xml:space="preserve"> </w:t>
      </w:r>
      <w:r>
        <w:t>February</w:t>
      </w:r>
      <w:r w:rsidR="00067548" w:rsidRPr="00910EE8">
        <w:t xml:space="preserve"> 2017</w:t>
      </w:r>
    </w:p>
    <w:p w14:paraId="56C12257" w14:textId="77777777" w:rsidR="00E90E49" w:rsidRPr="006B67CF" w:rsidRDefault="00E90E49" w:rsidP="00357380">
      <w:pPr>
        <w:pStyle w:val="3GPPHeader"/>
      </w:pPr>
    </w:p>
    <w:p w14:paraId="4A4F422A" w14:textId="3C05AF3B" w:rsidR="00E90E49" w:rsidRPr="00EB15C1" w:rsidRDefault="00E90E49" w:rsidP="00311702">
      <w:pPr>
        <w:pStyle w:val="3GPPHeader"/>
        <w:rPr>
          <w:sz w:val="22"/>
        </w:rPr>
      </w:pPr>
      <w:r w:rsidRPr="00EB15C1">
        <w:rPr>
          <w:sz w:val="22"/>
        </w:rPr>
        <w:t>Agenda Item:</w:t>
      </w:r>
      <w:r w:rsidRPr="00EB15C1">
        <w:rPr>
          <w:sz w:val="22"/>
        </w:rPr>
        <w:tab/>
      </w:r>
      <w:r w:rsidR="00601ACA" w:rsidRPr="00EB15C1">
        <w:rPr>
          <w:sz w:val="22"/>
        </w:rPr>
        <w:t>10.3.1.1.1</w:t>
      </w:r>
    </w:p>
    <w:p w14:paraId="5DAA27F0" w14:textId="77777777" w:rsidR="00E90E49" w:rsidRPr="006B67CF" w:rsidRDefault="003D3C45" w:rsidP="00F64C2B">
      <w:pPr>
        <w:pStyle w:val="3GPPHeader"/>
        <w:rPr>
          <w:sz w:val="22"/>
        </w:rPr>
      </w:pPr>
      <w:r w:rsidRPr="006B67CF">
        <w:rPr>
          <w:sz w:val="22"/>
        </w:rPr>
        <w:t>Source:</w:t>
      </w:r>
      <w:r w:rsidR="00E90E49" w:rsidRPr="006B67CF">
        <w:rPr>
          <w:sz w:val="22"/>
        </w:rPr>
        <w:tab/>
      </w:r>
      <w:r w:rsidR="00F64C2B" w:rsidRPr="006B67CF">
        <w:rPr>
          <w:sz w:val="22"/>
        </w:rPr>
        <w:t>Ericsson</w:t>
      </w:r>
    </w:p>
    <w:p w14:paraId="63CB047E" w14:textId="6627231E" w:rsidR="00E90E49" w:rsidRPr="006B67CF" w:rsidRDefault="003D3C45" w:rsidP="00311702">
      <w:pPr>
        <w:pStyle w:val="3GPPHeader"/>
        <w:rPr>
          <w:rFonts w:eastAsia="DengXian"/>
          <w:sz w:val="22"/>
        </w:rPr>
      </w:pPr>
      <w:r w:rsidRPr="006B67CF">
        <w:rPr>
          <w:sz w:val="22"/>
        </w:rPr>
        <w:t>Title:</w:t>
      </w:r>
      <w:r w:rsidR="00E90E49" w:rsidRPr="006B67CF">
        <w:rPr>
          <w:sz w:val="22"/>
        </w:rPr>
        <w:tab/>
      </w:r>
      <w:r w:rsidR="00D8203B" w:rsidRPr="006B67CF">
        <w:rPr>
          <w:rFonts w:eastAsia="DengXian"/>
          <w:sz w:val="22"/>
        </w:rPr>
        <w:t>RRC Measurement report content</w:t>
      </w:r>
    </w:p>
    <w:p w14:paraId="65935703" w14:textId="2755AB22" w:rsidR="00E90E49" w:rsidRPr="00CE0424" w:rsidRDefault="00E90E49" w:rsidP="007146AF">
      <w:pPr>
        <w:pStyle w:val="3GPPHeader"/>
      </w:pPr>
      <w:r w:rsidRPr="00CE0424">
        <w:rPr>
          <w:sz w:val="22"/>
        </w:rPr>
        <w:t>Document for:</w:t>
      </w:r>
      <w:r w:rsidRPr="00CE0424">
        <w:rPr>
          <w:sz w:val="22"/>
        </w:rPr>
        <w:tab/>
      </w:r>
      <w:r w:rsidR="00601ACA">
        <w:rPr>
          <w:sz w:val="22"/>
        </w:rPr>
        <w:t>Discussion</w:t>
      </w:r>
    </w:p>
    <w:p w14:paraId="51EDDA25" w14:textId="77777777" w:rsidR="00D8203B" w:rsidRDefault="00D8203B" w:rsidP="00D8203B">
      <w:pPr>
        <w:pStyle w:val="Heading1"/>
        <w:rPr>
          <w:lang w:val="en-US"/>
        </w:rPr>
      </w:pPr>
      <w:bookmarkStart w:id="1" w:name="_Ref462817227"/>
      <w:r w:rsidRPr="000744A0">
        <w:rPr>
          <w:lang w:val="en-US"/>
        </w:rPr>
        <w:t>Introduction</w:t>
      </w:r>
      <w:bookmarkEnd w:id="1"/>
    </w:p>
    <w:p w14:paraId="5785835A" w14:textId="77777777" w:rsidR="00601ACA" w:rsidRPr="00BF1C29" w:rsidRDefault="00601ACA" w:rsidP="00601ACA">
      <w:pPr>
        <w:jc w:val="both"/>
        <w:rPr>
          <w:rFonts w:ascii="Arial" w:hAnsi="Arial" w:cs="Arial"/>
          <w:sz w:val="20"/>
          <w:szCs w:val="20"/>
        </w:rPr>
      </w:pPr>
      <w:r w:rsidRPr="00BF1C29">
        <w:rPr>
          <w:rFonts w:ascii="Arial" w:eastAsia="MS Mincho" w:hAnsi="Arial" w:cs="Arial"/>
          <w:b/>
          <w:noProof/>
          <w:sz w:val="20"/>
          <w:szCs w:val="20"/>
          <w:highlight w:val="green"/>
          <w:u w:val="single"/>
        </w:rPr>
        <mc:AlternateContent>
          <mc:Choice Requires="wps">
            <w:drawing>
              <wp:anchor distT="45720" distB="45720" distL="114300" distR="114300" simplePos="0" relativeHeight="251659264" behindDoc="0" locked="0" layoutInCell="1" allowOverlap="1" wp14:anchorId="0AC856CF" wp14:editId="42B704E9">
                <wp:simplePos x="0" y="0"/>
                <wp:positionH relativeFrom="margin">
                  <wp:align>center</wp:align>
                </wp:positionH>
                <wp:positionV relativeFrom="paragraph">
                  <wp:posOffset>788670</wp:posOffset>
                </wp:positionV>
                <wp:extent cx="6057900" cy="457200"/>
                <wp:effectExtent l="0" t="0" r="1905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457200"/>
                        </a:xfrm>
                        <a:prstGeom prst="rect">
                          <a:avLst/>
                        </a:prstGeom>
                        <a:solidFill>
                          <a:srgbClr val="FFFFFF"/>
                        </a:solidFill>
                        <a:ln w="9525">
                          <a:solidFill>
                            <a:srgbClr val="000000"/>
                          </a:solidFill>
                          <a:miter lim="800000"/>
                          <a:headEnd/>
                          <a:tailEnd/>
                        </a:ln>
                      </wps:spPr>
                      <wps:txbx>
                        <w:txbxContent>
                          <w:p w14:paraId="5B9C6D2B" w14:textId="77777777" w:rsidR="00601ACA" w:rsidRDefault="00601ACA" w:rsidP="00601ACA">
                            <w:pPr>
                              <w:tabs>
                                <w:tab w:val="left" w:pos="1622"/>
                              </w:tabs>
                              <w:spacing w:after="0"/>
                              <w:rPr>
                                <w:rFonts w:eastAsia="MS Mincho"/>
                                <w:szCs w:val="24"/>
                                <w:lang w:eastAsia="ja-JP"/>
                              </w:rPr>
                            </w:pPr>
                            <w:r>
                              <w:rPr>
                                <w:rFonts w:eastAsia="MS Mincho"/>
                                <w:szCs w:val="24"/>
                                <w:lang w:eastAsia="ja-JP"/>
                              </w:rPr>
                              <w:t xml:space="preserve">=&gt; </w:t>
                            </w:r>
                            <w:r w:rsidRPr="00F72B04">
                              <w:rPr>
                                <w:rFonts w:eastAsia="MS Mincho"/>
                                <w:szCs w:val="24"/>
                                <w:lang w:eastAsia="ja-JP"/>
                              </w:rPr>
                              <w:t>RAN2 understanding of the LS is that RAN1 will define some form of additional RS to be used by the UE for RRM measurem</w:t>
                            </w:r>
                            <w:r>
                              <w:rPr>
                                <w:rFonts w:eastAsia="MS Mincho"/>
                                <w:szCs w:val="24"/>
                                <w:lang w:eastAsia="ja-JP"/>
                              </w:rPr>
                              <w:t>ents in CONNECTED in addition to</w:t>
                            </w:r>
                            <w:r w:rsidRPr="00F72B04">
                              <w:rPr>
                                <w:rFonts w:eastAsia="MS Mincho"/>
                                <w:szCs w:val="24"/>
                                <w:lang w:eastAsia="ja-JP"/>
                              </w:rPr>
                              <w:t xml:space="preserve"> the RS(s) available in idle.</w:t>
                            </w:r>
                          </w:p>
                          <w:p w14:paraId="1B14EB6E" w14:textId="77777777" w:rsidR="00601ACA" w:rsidRDefault="00601ACA" w:rsidP="00601AC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C856CF" id="_x0000_t202" coordsize="21600,21600" o:spt="202" path="m,l,21600r21600,l21600,xe">
                <v:stroke joinstyle="miter"/>
                <v:path gradientshapeok="t" o:connecttype="rect"/>
              </v:shapetype>
              <v:shape id="Text Box 2" o:spid="_x0000_s1026" type="#_x0000_t202" style="position:absolute;left:0;text-align:left;margin-left:0;margin-top:62.1pt;width:477pt;height:36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">
                <v:textbox>
                  <w:txbxContent>
                    <w:p w14:paraId="5B9C6D2B" w14:textId="77777777" w:rsidR="00601ACA" w:rsidRDefault="00601ACA" w:rsidP="00601ACA">
                      <w:pPr>
                        <w:tabs>
                          <w:tab w:val="left" w:pos="1622"/>
                        </w:tabs>
                        <w:spacing w:after="0"/>
                        <w:rPr>
                          <w:rFonts w:eastAsia="MS Mincho"/>
                          <w:szCs w:val="24"/>
                          <w:lang w:eastAsia="ja-JP"/>
                        </w:rPr>
                      </w:pPr>
                      <w:r>
                        <w:rPr>
                          <w:rFonts w:eastAsia="MS Mincho"/>
                          <w:szCs w:val="24"/>
                          <w:lang w:eastAsia="ja-JP"/>
                        </w:rPr>
                        <w:t xml:space="preserve">=&gt; </w:t>
                      </w:r>
                      <w:r w:rsidRPr="00F72B04">
                        <w:rPr>
                          <w:rFonts w:eastAsia="MS Mincho"/>
                          <w:szCs w:val="24"/>
                          <w:lang w:eastAsia="ja-JP"/>
                        </w:rPr>
                        <w:t>RAN2 understanding of the LS is that RAN1 will define some form of additional RS to be used by the UE for RRM measurem</w:t>
                      </w:r>
                      <w:r>
                        <w:rPr>
                          <w:rFonts w:eastAsia="MS Mincho"/>
                          <w:szCs w:val="24"/>
                          <w:lang w:eastAsia="ja-JP"/>
                        </w:rPr>
                        <w:t>ents in CONNECTED in addition to</w:t>
                      </w:r>
                      <w:r w:rsidRPr="00F72B04">
                        <w:rPr>
                          <w:rFonts w:eastAsia="MS Mincho"/>
                          <w:szCs w:val="24"/>
                          <w:lang w:eastAsia="ja-JP"/>
                        </w:rPr>
                        <w:t xml:space="preserve"> the RS(s) available in idle.</w:t>
                      </w:r>
                    </w:p>
                    <w:p w14:paraId="1B14EB6E" w14:textId="77777777" w:rsidR="00601ACA" w:rsidRDefault="00601ACA" w:rsidP="00601ACA"/>
                  </w:txbxContent>
                </v:textbox>
                <w10:wrap type="square" anchorx="margin"/>
              </v:shape>
            </w:pict>
          </mc:Fallback>
        </mc:AlternateContent>
      </w:r>
      <w:r w:rsidRPr="00BF1C29">
        <w:rPr>
          <w:rFonts w:ascii="Arial" w:hAnsi="Arial" w:cs="Arial"/>
          <w:sz w:val="20"/>
          <w:szCs w:val="20"/>
        </w:rPr>
        <w:t xml:space="preserve">In RAN2#NRAdHoc meeting, in Spokane, an LS was sent from RAN1 to RAN2 stating that for CONNECTED mode RRM measurement for L3 mobility either CSI-RS and/or an additionally RS separately designed (previously called mobility RS) would be used if needed </w:t>
      </w:r>
      <w:r w:rsidRPr="00BF1C29">
        <w:rPr>
          <w:rFonts w:ascii="Arial" w:hAnsi="Arial" w:cs="Arial"/>
          <w:sz w:val="20"/>
          <w:szCs w:val="20"/>
        </w:rPr>
        <w:fldChar w:fldCharType="begin"/>
      </w:r>
      <w:r w:rsidRPr="00BF1C29">
        <w:rPr>
          <w:rFonts w:ascii="Arial" w:hAnsi="Arial" w:cs="Arial"/>
          <w:sz w:val="20"/>
          <w:szCs w:val="20"/>
        </w:rPr>
        <w:instrText xml:space="preserve"> REF _Ref473822144 \n \h  \* MERGEFORMAT </w:instrText>
      </w:r>
      <w:r w:rsidRPr="00BF1C29">
        <w:rPr>
          <w:rFonts w:ascii="Arial" w:hAnsi="Arial" w:cs="Arial"/>
          <w:sz w:val="20"/>
          <w:szCs w:val="20"/>
        </w:rPr>
      </w:r>
      <w:r w:rsidRPr="00BF1C29">
        <w:rPr>
          <w:rFonts w:ascii="Arial" w:hAnsi="Arial" w:cs="Arial"/>
          <w:sz w:val="20"/>
          <w:szCs w:val="20"/>
        </w:rPr>
        <w:fldChar w:fldCharType="separate"/>
      </w:r>
      <w:r w:rsidRPr="00BF1C29">
        <w:rPr>
          <w:rFonts w:ascii="Arial" w:hAnsi="Arial" w:cs="Arial"/>
          <w:sz w:val="20"/>
          <w:szCs w:val="20"/>
        </w:rPr>
        <w:t>[1]</w:t>
      </w:r>
      <w:r w:rsidRPr="00BF1C29">
        <w:rPr>
          <w:rFonts w:ascii="Arial" w:hAnsi="Arial" w:cs="Arial"/>
          <w:sz w:val="20"/>
          <w:szCs w:val="20"/>
        </w:rPr>
        <w:fldChar w:fldCharType="end"/>
      </w:r>
      <w:r w:rsidRPr="00BF1C29">
        <w:rPr>
          <w:rFonts w:ascii="Arial" w:hAnsi="Arial" w:cs="Arial"/>
          <w:sz w:val="20"/>
          <w:szCs w:val="20"/>
        </w:rPr>
        <w:t xml:space="preserve">. After a discussion of what “if needed” could possibly mean, RAN2 has interpreted the agreement as follows: </w:t>
      </w:r>
    </w:p>
    <w:p w14:paraId="0A6F19C0" w14:textId="77777777" w:rsidR="00601ACA" w:rsidRDefault="00601ACA" w:rsidP="00601ACA">
      <w:pPr>
        <w:pStyle w:val="BodyText"/>
        <w:jc w:val="both"/>
        <w:rPr>
          <w:rFonts w:ascii="Arial" w:eastAsia="MS Mincho" w:hAnsi="Arial" w:cs="Arial"/>
          <w:sz w:val="20"/>
          <w:szCs w:val="20"/>
        </w:rPr>
      </w:pPr>
    </w:p>
    <w:p w14:paraId="667C8A59" w14:textId="5A3C1895" w:rsidR="00601ACA" w:rsidRPr="00601ACA" w:rsidRDefault="00504651" w:rsidP="00601ACA">
      <w:pPr>
        <w:pStyle w:val="BodyText"/>
        <w:jc w:val="both"/>
        <w:rPr>
          <w:rFonts w:ascii="Arial" w:eastAsia="MS Mincho" w:hAnsi="Arial" w:cs="Arial"/>
          <w:sz w:val="20"/>
          <w:szCs w:val="20"/>
        </w:rPr>
      </w:pPr>
      <w:r>
        <w:rPr>
          <w:rFonts w:ascii="Arial" w:eastAsia="MS Mincho" w:hAnsi="Arial" w:cs="Arial"/>
          <w:sz w:val="20"/>
          <w:szCs w:val="20"/>
        </w:rPr>
        <w:t xml:space="preserve">This is the continuation of another paper </w:t>
      </w:r>
      <w:r>
        <w:rPr>
          <w:rFonts w:ascii="Arial" w:eastAsia="MS Mincho" w:hAnsi="Arial" w:cs="Arial"/>
          <w:sz w:val="20"/>
          <w:szCs w:val="20"/>
        </w:rPr>
        <w:fldChar w:fldCharType="begin"/>
      </w:r>
      <w:r>
        <w:rPr>
          <w:rFonts w:ascii="Arial" w:eastAsia="MS Mincho" w:hAnsi="Arial" w:cs="Arial"/>
          <w:sz w:val="20"/>
          <w:szCs w:val="20"/>
        </w:rPr>
        <w:instrText xml:space="preserve"> REF _Ref473912073 \n \h </w:instrText>
      </w:r>
      <w:r>
        <w:rPr>
          <w:rFonts w:ascii="Arial" w:eastAsia="MS Mincho" w:hAnsi="Arial" w:cs="Arial"/>
          <w:sz w:val="20"/>
          <w:szCs w:val="20"/>
        </w:rPr>
      </w:r>
      <w:r>
        <w:rPr>
          <w:rFonts w:ascii="Arial" w:eastAsia="MS Mincho" w:hAnsi="Arial" w:cs="Arial"/>
          <w:sz w:val="20"/>
          <w:szCs w:val="20"/>
        </w:rPr>
        <w:fldChar w:fldCharType="separate"/>
      </w:r>
      <w:r>
        <w:rPr>
          <w:rFonts w:ascii="Arial" w:eastAsia="MS Mincho" w:hAnsi="Arial" w:cs="Arial"/>
          <w:sz w:val="20"/>
          <w:szCs w:val="20"/>
        </w:rPr>
        <w:t>[2]</w:t>
      </w:r>
      <w:r>
        <w:rPr>
          <w:rFonts w:ascii="Arial" w:eastAsia="MS Mincho" w:hAnsi="Arial" w:cs="Arial"/>
          <w:sz w:val="20"/>
          <w:szCs w:val="20"/>
        </w:rPr>
        <w:fldChar w:fldCharType="end"/>
      </w:r>
      <w:r>
        <w:rPr>
          <w:rFonts w:ascii="Arial" w:eastAsia="MS Mincho" w:hAnsi="Arial" w:cs="Arial"/>
          <w:sz w:val="20"/>
          <w:szCs w:val="20"/>
        </w:rPr>
        <w:t xml:space="preserve"> where the definition of mobility events for cell-based measurements for IDLE RS (which encodes a cell ID) and beam-based measurements for the additional RS (which implicitly or explicitly encodes a beam identifier) were discussed</w:t>
      </w:r>
      <w:r w:rsidR="00601ACA">
        <w:rPr>
          <w:rFonts w:ascii="Arial" w:eastAsia="MS Mincho" w:hAnsi="Arial" w:cs="Arial"/>
          <w:sz w:val="20"/>
          <w:szCs w:val="20"/>
        </w:rPr>
        <w:t xml:space="preserve">. </w:t>
      </w:r>
      <w:r w:rsidR="00601ACA" w:rsidRPr="00BF1C29">
        <w:rPr>
          <w:rFonts w:ascii="Arial" w:hAnsi="Arial" w:cs="Arial"/>
          <w:sz w:val="20"/>
          <w:szCs w:val="20"/>
        </w:rPr>
        <w:t xml:space="preserve">In RAN2#96 the following agreements have been made concerning measurement reports in NR for RRC_CONNECTED UEs: </w:t>
      </w:r>
    </w:p>
    <w:p w14:paraId="7A0A75BE" w14:textId="77777777" w:rsidR="00601ACA" w:rsidRPr="00BF1C29" w:rsidRDefault="00601ACA" w:rsidP="00601ACA">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BF1C29">
        <w:rPr>
          <w:rFonts w:ascii="Arial" w:hAnsi="Arial" w:cs="Arial"/>
          <w:sz w:val="20"/>
          <w:szCs w:val="20"/>
        </w:rPr>
        <w:t>2</w:t>
      </w:r>
      <w:r w:rsidRPr="00BF1C29">
        <w:rPr>
          <w:rFonts w:ascii="Arial" w:hAnsi="Arial" w:cs="Arial"/>
          <w:sz w:val="20"/>
          <w:szCs w:val="20"/>
        </w:rPr>
        <w:tab/>
        <w:t>Measurement report will contain cell measurements</w:t>
      </w:r>
    </w:p>
    <w:p w14:paraId="7E53FF51" w14:textId="77777777" w:rsidR="00601ACA" w:rsidRPr="00BF1C29" w:rsidRDefault="00601ACA" w:rsidP="00601ACA">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BF1C29">
        <w:rPr>
          <w:rFonts w:ascii="Arial" w:hAnsi="Arial" w:cs="Arial"/>
          <w:sz w:val="20"/>
          <w:szCs w:val="20"/>
        </w:rPr>
        <w:t>FFS whether the measurement report contains beams measurements</w:t>
      </w:r>
    </w:p>
    <w:p w14:paraId="27B77DD6" w14:textId="77777777" w:rsidR="00601ACA" w:rsidRPr="00BF1C29" w:rsidRDefault="00601ACA" w:rsidP="00601ACA">
      <w:pPr>
        <w:pStyle w:val="Doc-text2"/>
        <w:ind w:left="0" w:firstLine="0"/>
        <w:rPr>
          <w:rFonts w:ascii="Arial" w:hAnsi="Arial" w:cs="Arial"/>
          <w:sz w:val="20"/>
          <w:szCs w:val="20"/>
        </w:rPr>
      </w:pPr>
    </w:p>
    <w:p w14:paraId="717FF62D" w14:textId="1A76AD39" w:rsidR="00D8203B" w:rsidRPr="00504651" w:rsidRDefault="00504651" w:rsidP="00287895">
      <w:pPr>
        <w:pStyle w:val="BodyText"/>
        <w:jc w:val="both"/>
        <w:rPr>
          <w:rFonts w:ascii="Arial" w:eastAsia="MS Mincho" w:hAnsi="Arial" w:cs="Arial"/>
          <w:sz w:val="20"/>
          <w:szCs w:val="20"/>
        </w:rPr>
      </w:pPr>
      <w:r>
        <w:rPr>
          <w:rFonts w:ascii="Arial" w:eastAsia="MS Mincho" w:hAnsi="Arial" w:cs="Arial"/>
          <w:sz w:val="20"/>
          <w:szCs w:val="20"/>
        </w:rPr>
        <w:t xml:space="preserve">However, considering the RAN1 current assumption, it needs to be further discussed whether that is only valid for the IDLE RS and/or to the beamformed additional RS. </w:t>
      </w:r>
      <w:r w:rsidR="00601ACA" w:rsidRPr="00BF1C29">
        <w:rPr>
          <w:rFonts w:ascii="Arial" w:eastAsia="MS Mincho" w:hAnsi="Arial" w:cs="Arial"/>
          <w:sz w:val="20"/>
          <w:szCs w:val="20"/>
        </w:rPr>
        <w:t xml:space="preserve">In this paper we revisit the discussion on </w:t>
      </w:r>
      <w:r w:rsidR="00287895">
        <w:rPr>
          <w:rFonts w:ascii="Arial" w:eastAsia="MS Mincho" w:hAnsi="Arial" w:cs="Arial"/>
          <w:sz w:val="20"/>
          <w:szCs w:val="20"/>
        </w:rPr>
        <w:t xml:space="preserve">the content of the </w:t>
      </w:r>
      <w:r w:rsidR="00287895">
        <w:rPr>
          <w:rFonts w:ascii="Arial" w:hAnsi="Arial" w:cs="Arial"/>
          <w:sz w:val="20"/>
          <w:szCs w:val="20"/>
        </w:rPr>
        <w:t xml:space="preserve">RRC </w:t>
      </w:r>
      <w:r w:rsidR="00601ACA" w:rsidRPr="00BF1C29">
        <w:rPr>
          <w:rFonts w:ascii="Arial" w:hAnsi="Arial" w:cs="Arial"/>
          <w:sz w:val="20"/>
          <w:szCs w:val="20"/>
        </w:rPr>
        <w:t>measurement report</w:t>
      </w:r>
      <w:r w:rsidR="00287895">
        <w:rPr>
          <w:rFonts w:ascii="Arial" w:hAnsi="Arial" w:cs="Arial"/>
          <w:sz w:val="20"/>
          <w:szCs w:val="20"/>
        </w:rPr>
        <w:t>s</w:t>
      </w:r>
      <w:r w:rsidR="00601ACA" w:rsidRPr="00BF1C29">
        <w:rPr>
          <w:rFonts w:ascii="Arial" w:hAnsi="Arial" w:cs="Arial"/>
          <w:sz w:val="20"/>
          <w:szCs w:val="20"/>
        </w:rPr>
        <w:t xml:space="preserve"> associated to the different mobility events under the </w:t>
      </w:r>
      <w:r w:rsidR="00601ACA" w:rsidRPr="00BF1C29">
        <w:rPr>
          <w:rFonts w:ascii="Arial" w:eastAsia="MS Mincho" w:hAnsi="Arial" w:cs="Arial"/>
          <w:sz w:val="20"/>
          <w:szCs w:val="20"/>
        </w:rPr>
        <w:t>assumption that the UE can either perform RRM measurements based on IDLE RS or additional RS</w:t>
      </w:r>
      <w:r w:rsidR="00601ACA" w:rsidRPr="00BF1C29">
        <w:rPr>
          <w:rFonts w:ascii="Arial" w:hAnsi="Arial" w:cs="Arial"/>
          <w:sz w:val="20"/>
          <w:szCs w:val="20"/>
        </w:rPr>
        <w:t>.</w:t>
      </w:r>
      <w:bookmarkStart w:id="2" w:name="_Ref462918989"/>
    </w:p>
    <w:p w14:paraId="55141043" w14:textId="77777777" w:rsidR="00D8203B" w:rsidRPr="00915B44" w:rsidRDefault="00D8203B" w:rsidP="00D8203B">
      <w:pPr>
        <w:pStyle w:val="Heading1"/>
        <w:rPr>
          <w:lang w:val="en-US"/>
        </w:rPr>
      </w:pPr>
      <w:bookmarkStart w:id="3" w:name="_Ref178064866"/>
      <w:r w:rsidRPr="000744A0">
        <w:rPr>
          <w:lang w:val="en-US"/>
        </w:rPr>
        <w:t>D</w:t>
      </w:r>
      <w:r>
        <w:rPr>
          <w:lang w:val="en-US"/>
        </w:rPr>
        <w:t>iscussion</w:t>
      </w:r>
      <w:bookmarkEnd w:id="3"/>
    </w:p>
    <w:p w14:paraId="3F09AE85" w14:textId="2EA19579" w:rsidR="00D8203B" w:rsidRPr="0081055B" w:rsidRDefault="00D8203B" w:rsidP="00D8203B">
      <w:pPr>
        <w:pStyle w:val="Heading2"/>
        <w:rPr>
          <w:lang w:val="en-US"/>
        </w:rPr>
      </w:pPr>
      <w:r w:rsidRPr="0081055B">
        <w:rPr>
          <w:lang w:val="en-US"/>
        </w:rPr>
        <w:t>Content of measurement reports</w:t>
      </w:r>
      <w:r w:rsidR="002803F3">
        <w:rPr>
          <w:lang w:val="en-US"/>
        </w:rPr>
        <w:t xml:space="preserve"> for IDLE RS</w:t>
      </w:r>
    </w:p>
    <w:p w14:paraId="71790472" w14:textId="068498FB" w:rsidR="00D8203B" w:rsidRPr="0081055B" w:rsidRDefault="00676AF2" w:rsidP="00D8203B">
      <w:pPr>
        <w:pStyle w:val="TOC1"/>
        <w:ind w:left="0" w:firstLine="0"/>
        <w:jc w:val="both"/>
        <w:rPr>
          <w:rFonts w:cs="Arial"/>
          <w:b w:val="0"/>
          <w:kern w:val="2"/>
          <w:szCs w:val="20"/>
        </w:rPr>
      </w:pPr>
      <w:r>
        <w:rPr>
          <w:rFonts w:cs="Arial"/>
          <w:b w:val="0"/>
          <w:kern w:val="2"/>
          <w:szCs w:val="20"/>
        </w:rPr>
        <w:t>An ongoing</w:t>
      </w:r>
      <w:r w:rsidR="00D8203B" w:rsidRPr="0081055B">
        <w:rPr>
          <w:rFonts w:cs="Arial"/>
          <w:b w:val="0"/>
          <w:kern w:val="2"/>
          <w:szCs w:val="20"/>
        </w:rPr>
        <w:t xml:space="preserve"> discussion regarding measurement reports is whether the UE should report only the values per cell (and/or considering any other value per group of beams) or, in addition, per individual beam. It is crutial that the content of RRC measurement reports suffices the serving gNB to make a proper handover decision and send a handover command that contains suficient information so the UE can access a target cell. </w:t>
      </w:r>
    </w:p>
    <w:p w14:paraId="4AAC8B57" w14:textId="77777777" w:rsidR="00D8203B" w:rsidRPr="0081055B" w:rsidRDefault="00D8203B" w:rsidP="00D8203B">
      <w:pPr>
        <w:pStyle w:val="TOC1"/>
        <w:ind w:left="0" w:firstLine="0"/>
        <w:jc w:val="both"/>
        <w:rPr>
          <w:rFonts w:cs="Arial"/>
          <w:b w:val="0"/>
          <w:kern w:val="2"/>
          <w:szCs w:val="20"/>
        </w:rPr>
      </w:pPr>
    </w:p>
    <w:p w14:paraId="586A613F" w14:textId="77777777" w:rsidR="00D8203B" w:rsidRPr="006B67CF" w:rsidRDefault="00D8203B" w:rsidP="006276C5">
      <w:pPr>
        <w:pStyle w:val="Observation"/>
        <w:jc w:val="both"/>
        <w:rPr>
          <w:rFonts w:ascii="Arial" w:hAnsi="Arial" w:cs="Arial"/>
          <w:sz w:val="20"/>
          <w:szCs w:val="20"/>
        </w:rPr>
      </w:pPr>
      <w:r w:rsidRPr="006B67CF">
        <w:rPr>
          <w:rFonts w:ascii="Arial" w:hAnsi="Arial" w:cs="Arial"/>
          <w:kern w:val="2"/>
          <w:sz w:val="20"/>
          <w:szCs w:val="20"/>
        </w:rPr>
        <w:t>The content of RRC measurement reports should suffice the serving gNB to make a proper handover decision and send a handover command that contains sufficient information so the UE can access a target cell</w:t>
      </w:r>
    </w:p>
    <w:p w14:paraId="04218329" w14:textId="77777777" w:rsidR="00D8203B" w:rsidRPr="0081055B" w:rsidRDefault="00D8203B" w:rsidP="00D8203B">
      <w:pPr>
        <w:pStyle w:val="TOC1"/>
        <w:ind w:left="0" w:firstLine="0"/>
        <w:jc w:val="both"/>
        <w:rPr>
          <w:rFonts w:cs="Arial"/>
          <w:b w:val="0"/>
          <w:kern w:val="2"/>
          <w:szCs w:val="20"/>
        </w:rPr>
      </w:pPr>
    </w:p>
    <w:p w14:paraId="745B3494" w14:textId="5D25B5DA" w:rsidR="00D8203B" w:rsidRDefault="00D8203B" w:rsidP="00D8203B">
      <w:pPr>
        <w:pStyle w:val="TOC1"/>
        <w:ind w:left="0" w:firstLine="0"/>
        <w:jc w:val="both"/>
        <w:rPr>
          <w:rFonts w:cs="Arial"/>
          <w:b w:val="0"/>
          <w:kern w:val="2"/>
          <w:szCs w:val="20"/>
        </w:rPr>
      </w:pPr>
      <w:r w:rsidRPr="0081055B">
        <w:rPr>
          <w:rFonts w:cs="Arial"/>
          <w:b w:val="0"/>
          <w:kern w:val="2"/>
          <w:szCs w:val="20"/>
        </w:rPr>
        <w:t xml:space="preserve">In LTE, reporting quality values per cell is sufficient since the target cell does not have </w:t>
      </w:r>
      <w:r w:rsidR="00504651">
        <w:rPr>
          <w:rFonts w:cs="Arial"/>
          <w:b w:val="0"/>
          <w:kern w:val="2"/>
          <w:szCs w:val="20"/>
        </w:rPr>
        <w:t xml:space="preserve">a lot of flexibility </w:t>
      </w:r>
      <w:r w:rsidRPr="0081055B">
        <w:rPr>
          <w:rFonts w:cs="Arial"/>
          <w:b w:val="0"/>
          <w:kern w:val="2"/>
          <w:szCs w:val="20"/>
        </w:rPr>
        <w:t>to decide before the handover is performed which resources will be allocated for that UE. In addition, the information required to the UE to access the target cell is defined per cell i.e. it does not change within the cell (e.g. PRACH resources and/or preamble).</w:t>
      </w:r>
    </w:p>
    <w:p w14:paraId="0ABE5B05" w14:textId="77777777" w:rsidR="00504651" w:rsidRPr="0081055B" w:rsidRDefault="00504651" w:rsidP="00D8203B">
      <w:pPr>
        <w:pStyle w:val="TOC1"/>
        <w:ind w:left="0" w:firstLine="0"/>
        <w:jc w:val="both"/>
        <w:rPr>
          <w:rFonts w:cs="Arial"/>
          <w:b w:val="0"/>
          <w:kern w:val="2"/>
          <w:szCs w:val="20"/>
        </w:rPr>
      </w:pPr>
    </w:p>
    <w:p w14:paraId="0A2422C8" w14:textId="057B93BE" w:rsidR="00D8203B" w:rsidRDefault="00D8203B" w:rsidP="00504651">
      <w:pPr>
        <w:pStyle w:val="Observation"/>
        <w:rPr>
          <w:rFonts w:ascii="Arial" w:hAnsi="Arial" w:cs="Arial"/>
          <w:sz w:val="20"/>
          <w:szCs w:val="20"/>
        </w:rPr>
      </w:pPr>
      <w:r w:rsidRPr="006B67CF">
        <w:rPr>
          <w:rFonts w:ascii="Arial" w:hAnsi="Arial" w:cs="Arial"/>
          <w:sz w:val="20"/>
          <w:szCs w:val="20"/>
        </w:rPr>
        <w:t>In LTE measurement reports per cell are sufficient to allow the serving cell to make proper handover decisions and/or to allow the target cell to provide the sufficient information so the UE can access it</w:t>
      </w:r>
    </w:p>
    <w:p w14:paraId="70DF839D" w14:textId="207A0156" w:rsidR="00504651" w:rsidRDefault="00504651" w:rsidP="00504651">
      <w:pPr>
        <w:pStyle w:val="Observation"/>
        <w:numPr>
          <w:ilvl w:val="0"/>
          <w:numId w:val="0"/>
        </w:numPr>
        <w:ind w:left="1701" w:hanging="1701"/>
        <w:rPr>
          <w:rFonts w:ascii="Arial" w:hAnsi="Arial" w:cs="Arial"/>
          <w:sz w:val="20"/>
          <w:szCs w:val="20"/>
        </w:rPr>
      </w:pPr>
    </w:p>
    <w:p w14:paraId="7C65C755" w14:textId="62525BB3" w:rsidR="00C9363F" w:rsidRDefault="00504651" w:rsidP="00504651">
      <w:pPr>
        <w:pStyle w:val="TOC1"/>
        <w:ind w:left="0" w:firstLine="0"/>
        <w:jc w:val="both"/>
        <w:rPr>
          <w:rFonts w:cs="Arial"/>
          <w:b w:val="0"/>
          <w:kern w:val="2"/>
          <w:szCs w:val="20"/>
        </w:rPr>
      </w:pPr>
      <w:r>
        <w:rPr>
          <w:rFonts w:cs="Arial"/>
          <w:b w:val="0"/>
          <w:kern w:val="2"/>
          <w:szCs w:val="20"/>
        </w:rPr>
        <w:t xml:space="preserve">As discussed in </w:t>
      </w:r>
      <w:r>
        <w:rPr>
          <w:rFonts w:cs="Arial"/>
          <w:b w:val="0"/>
          <w:kern w:val="2"/>
          <w:szCs w:val="20"/>
        </w:rPr>
        <w:fldChar w:fldCharType="begin"/>
      </w:r>
      <w:r>
        <w:rPr>
          <w:rFonts w:cs="Arial"/>
          <w:b w:val="0"/>
          <w:kern w:val="2"/>
          <w:szCs w:val="20"/>
        </w:rPr>
        <w:instrText xml:space="preserve"> REF _Ref473912073 \n \h </w:instrText>
      </w:r>
      <w:r>
        <w:rPr>
          <w:rFonts w:cs="Arial"/>
          <w:b w:val="0"/>
          <w:kern w:val="2"/>
          <w:szCs w:val="20"/>
        </w:rPr>
      </w:r>
      <w:r>
        <w:rPr>
          <w:rFonts w:cs="Arial"/>
          <w:b w:val="0"/>
          <w:kern w:val="2"/>
          <w:szCs w:val="20"/>
        </w:rPr>
        <w:fldChar w:fldCharType="separate"/>
      </w:r>
      <w:r>
        <w:rPr>
          <w:rFonts w:cs="Arial"/>
          <w:b w:val="0"/>
          <w:kern w:val="2"/>
          <w:szCs w:val="20"/>
        </w:rPr>
        <w:t>[2]</w:t>
      </w:r>
      <w:r>
        <w:rPr>
          <w:rFonts w:cs="Arial"/>
          <w:b w:val="0"/>
          <w:kern w:val="2"/>
          <w:szCs w:val="20"/>
        </w:rPr>
        <w:fldChar w:fldCharType="end"/>
      </w:r>
      <w:r>
        <w:rPr>
          <w:rFonts w:cs="Arial"/>
          <w:b w:val="0"/>
          <w:kern w:val="2"/>
          <w:szCs w:val="20"/>
        </w:rPr>
        <w:t>, the network should be able to configure the UE with cell-based moblity events associated to the IDLE RS since these will encodea at least a cell ID. Even though these IDLE RS may also be transmitted in periodic beam sweepings, RAN1 agreements only describes the cell ID as being carried</w:t>
      </w:r>
      <w:r w:rsidR="00C9363F">
        <w:rPr>
          <w:rFonts w:cs="Arial"/>
          <w:b w:val="0"/>
          <w:kern w:val="2"/>
          <w:szCs w:val="20"/>
        </w:rPr>
        <w:t>. It is true that e.g. in order to enable the entwork to improve the PRACH detection, the SS Block should also contain some timing information that could be mapped to beams in the sweeping case (e.g. a TSS signal encoding the OFDM symbol timing or equivalent). However, in our view the reporting the “strongest TSS value” with the cell measurements would be akward, especially considering that these should also support repetition and</w:t>
      </w:r>
      <w:r w:rsidR="00D46FA5">
        <w:rPr>
          <w:rFonts w:cs="Arial"/>
          <w:b w:val="0"/>
          <w:kern w:val="2"/>
          <w:szCs w:val="20"/>
        </w:rPr>
        <w:t xml:space="preserve"> there will not be a 1-to-1 mapping betweeen the TSS and beams, since in some deployment smultiple beams would be distributted over multiple subframes where the same TSS value would be transmitted in different beams. Hence, in the case the network configure mobility events assocaited to the IDLE RS only cell level measurements are reported.</w:t>
      </w:r>
    </w:p>
    <w:p w14:paraId="0C94C1DD" w14:textId="77777777" w:rsidR="002803F3" w:rsidRDefault="002803F3" w:rsidP="00504651">
      <w:pPr>
        <w:pStyle w:val="TOC1"/>
        <w:ind w:left="0" w:firstLine="0"/>
        <w:jc w:val="both"/>
        <w:rPr>
          <w:rFonts w:cs="Arial"/>
          <w:b w:val="0"/>
          <w:kern w:val="2"/>
          <w:szCs w:val="20"/>
        </w:rPr>
      </w:pPr>
    </w:p>
    <w:p w14:paraId="4C0BD396" w14:textId="5FCD83E7" w:rsidR="002803F3" w:rsidRPr="002803F3" w:rsidRDefault="002803F3" w:rsidP="002803F3">
      <w:pPr>
        <w:pStyle w:val="Observation"/>
        <w:rPr>
          <w:rFonts w:ascii="Arial" w:hAnsi="Arial" w:cs="Arial"/>
          <w:sz w:val="20"/>
          <w:szCs w:val="20"/>
        </w:rPr>
      </w:pPr>
      <w:r w:rsidRPr="006B67CF">
        <w:rPr>
          <w:rFonts w:ascii="Arial" w:hAnsi="Arial" w:cs="Arial"/>
          <w:sz w:val="20"/>
          <w:szCs w:val="20"/>
        </w:rPr>
        <w:t>NR measurement reports per cell are sufficient if NR is deployed in the same frequencies as in LTE today and/or under certain antenna configurations</w:t>
      </w:r>
    </w:p>
    <w:p w14:paraId="44D436B2" w14:textId="77777777" w:rsidR="00D46FA5" w:rsidRDefault="00D46FA5" w:rsidP="00D46FA5">
      <w:pPr>
        <w:pStyle w:val="Proposal"/>
        <w:tabs>
          <w:tab w:val="num" w:pos="1304"/>
        </w:tabs>
        <w:rPr>
          <w:rFonts w:ascii="Arial" w:hAnsi="Arial" w:cs="Arial"/>
          <w:sz w:val="20"/>
          <w:szCs w:val="20"/>
        </w:rPr>
      </w:pPr>
      <w:r w:rsidRPr="0081055B">
        <w:rPr>
          <w:rFonts w:ascii="Arial" w:hAnsi="Arial" w:cs="Arial"/>
          <w:sz w:val="20"/>
          <w:szCs w:val="20"/>
        </w:rPr>
        <w:t xml:space="preserve">NR measurement reports should carry </w:t>
      </w:r>
      <w:r>
        <w:rPr>
          <w:rFonts w:ascii="Arial" w:hAnsi="Arial" w:cs="Arial"/>
          <w:sz w:val="20"/>
          <w:szCs w:val="20"/>
        </w:rPr>
        <w:t xml:space="preserve">only cell measurements if mobility events are configured for the IDLE RS </w:t>
      </w:r>
    </w:p>
    <w:p w14:paraId="2B0897FD" w14:textId="2FE4BD84" w:rsidR="00C9363F" w:rsidRDefault="00C9363F" w:rsidP="00504651">
      <w:pPr>
        <w:pStyle w:val="TOC1"/>
        <w:ind w:left="0" w:firstLine="0"/>
        <w:jc w:val="both"/>
        <w:rPr>
          <w:rFonts w:cs="Arial"/>
          <w:b w:val="0"/>
          <w:kern w:val="2"/>
          <w:szCs w:val="20"/>
        </w:rPr>
      </w:pPr>
    </w:p>
    <w:p w14:paraId="13957D58" w14:textId="2E8A27A7" w:rsidR="00504651" w:rsidRPr="002803F3" w:rsidRDefault="002803F3" w:rsidP="002803F3">
      <w:pPr>
        <w:pStyle w:val="Heading2"/>
        <w:rPr>
          <w:lang w:val="en-US"/>
        </w:rPr>
      </w:pPr>
      <w:r w:rsidRPr="0081055B">
        <w:rPr>
          <w:lang w:val="en-US"/>
        </w:rPr>
        <w:t>Content of measurement reports</w:t>
      </w:r>
      <w:r>
        <w:rPr>
          <w:lang w:val="en-US"/>
        </w:rPr>
        <w:t xml:space="preserve"> for additional RS</w:t>
      </w:r>
    </w:p>
    <w:p w14:paraId="1ABE2B6B" w14:textId="2B670383" w:rsidR="0088016B" w:rsidRDefault="00EC4C96" w:rsidP="00D8203B">
      <w:pPr>
        <w:pStyle w:val="TOC1"/>
        <w:ind w:left="0" w:firstLine="0"/>
        <w:jc w:val="both"/>
        <w:rPr>
          <w:rFonts w:cs="Arial"/>
          <w:b w:val="0"/>
          <w:kern w:val="2"/>
          <w:szCs w:val="20"/>
        </w:rPr>
      </w:pPr>
      <w:r>
        <w:rPr>
          <w:rFonts w:cs="Arial"/>
          <w:b w:val="0"/>
          <w:kern w:val="2"/>
          <w:szCs w:val="20"/>
        </w:rPr>
        <w:t xml:space="preserve">In certain scenarios </w:t>
      </w:r>
      <w:r w:rsidR="002803F3">
        <w:rPr>
          <w:rFonts w:cs="Arial"/>
          <w:b w:val="0"/>
          <w:kern w:val="2"/>
          <w:szCs w:val="20"/>
        </w:rPr>
        <w:t xml:space="preserve">moblity events </w:t>
      </w:r>
      <w:r>
        <w:rPr>
          <w:rFonts w:cs="Arial"/>
          <w:b w:val="0"/>
          <w:kern w:val="2"/>
          <w:szCs w:val="20"/>
        </w:rPr>
        <w:t xml:space="preserve">will be </w:t>
      </w:r>
      <w:r w:rsidR="002803F3">
        <w:rPr>
          <w:rFonts w:cs="Arial"/>
          <w:b w:val="0"/>
          <w:kern w:val="2"/>
          <w:szCs w:val="20"/>
        </w:rPr>
        <w:t>configur</w:t>
      </w:r>
      <w:r w:rsidR="0088016B">
        <w:rPr>
          <w:rFonts w:cs="Arial"/>
          <w:b w:val="0"/>
          <w:kern w:val="2"/>
          <w:szCs w:val="20"/>
        </w:rPr>
        <w:t xml:space="preserve">ed based on </w:t>
      </w:r>
      <w:r>
        <w:rPr>
          <w:rFonts w:cs="Arial"/>
          <w:b w:val="0"/>
          <w:kern w:val="2"/>
          <w:szCs w:val="20"/>
        </w:rPr>
        <w:t xml:space="preserve">additional </w:t>
      </w:r>
      <w:r w:rsidR="002803F3">
        <w:rPr>
          <w:rFonts w:cs="Arial"/>
          <w:b w:val="0"/>
          <w:kern w:val="2"/>
          <w:szCs w:val="20"/>
        </w:rPr>
        <w:t>RS e.g. in higher frequencies</w:t>
      </w:r>
      <w:r w:rsidR="00D8203B" w:rsidRPr="0081055B">
        <w:rPr>
          <w:rFonts w:cs="Arial"/>
          <w:b w:val="0"/>
          <w:kern w:val="2"/>
          <w:szCs w:val="20"/>
        </w:rPr>
        <w:t xml:space="preserve"> and/or certain antenna configurations with many ports.</w:t>
      </w:r>
      <w:r w:rsidR="0088016B">
        <w:rPr>
          <w:rFonts w:cs="Arial"/>
          <w:b w:val="0"/>
          <w:kern w:val="2"/>
          <w:szCs w:val="20"/>
        </w:rPr>
        <w:t xml:space="preserve"> This additional RS will encode an implicit or explicit beam identifier</w:t>
      </w:r>
      <w:r>
        <w:rPr>
          <w:rFonts w:cs="Arial"/>
          <w:b w:val="0"/>
          <w:kern w:val="2"/>
          <w:szCs w:val="20"/>
        </w:rPr>
        <w:t xml:space="preserve">. As </w:t>
      </w:r>
      <w:r w:rsidR="0088016B">
        <w:rPr>
          <w:rFonts w:cs="Arial"/>
          <w:b w:val="0"/>
          <w:kern w:val="2"/>
          <w:szCs w:val="20"/>
        </w:rPr>
        <w:t xml:space="preserve">explained in </w:t>
      </w:r>
      <w:r w:rsidR="0088016B">
        <w:rPr>
          <w:rFonts w:cs="Arial"/>
          <w:b w:val="0"/>
          <w:kern w:val="2"/>
          <w:szCs w:val="20"/>
        </w:rPr>
        <w:fldChar w:fldCharType="begin"/>
      </w:r>
      <w:r w:rsidR="0088016B">
        <w:rPr>
          <w:rFonts w:cs="Arial"/>
          <w:b w:val="0"/>
          <w:kern w:val="2"/>
          <w:szCs w:val="20"/>
        </w:rPr>
        <w:instrText xml:space="preserve"> REF _Ref473912073 \n \h </w:instrText>
      </w:r>
      <w:r w:rsidR="0088016B">
        <w:rPr>
          <w:rFonts w:cs="Arial"/>
          <w:b w:val="0"/>
          <w:kern w:val="2"/>
          <w:szCs w:val="20"/>
        </w:rPr>
      </w:r>
      <w:r w:rsidR="0088016B">
        <w:rPr>
          <w:rFonts w:cs="Arial"/>
          <w:b w:val="0"/>
          <w:kern w:val="2"/>
          <w:szCs w:val="20"/>
        </w:rPr>
        <w:fldChar w:fldCharType="separate"/>
      </w:r>
      <w:r w:rsidR="0088016B">
        <w:rPr>
          <w:rFonts w:cs="Arial"/>
          <w:b w:val="0"/>
          <w:kern w:val="2"/>
          <w:szCs w:val="20"/>
        </w:rPr>
        <w:t>[2]</w:t>
      </w:r>
      <w:r w:rsidR="0088016B">
        <w:rPr>
          <w:rFonts w:cs="Arial"/>
          <w:b w:val="0"/>
          <w:kern w:val="2"/>
          <w:szCs w:val="20"/>
        </w:rPr>
        <w:fldChar w:fldCharType="end"/>
      </w:r>
      <w:r w:rsidR="0088016B">
        <w:rPr>
          <w:rFonts w:cs="Arial"/>
          <w:b w:val="0"/>
          <w:kern w:val="2"/>
          <w:szCs w:val="20"/>
        </w:rPr>
        <w:t xml:space="preserve">, the </w:t>
      </w:r>
      <w:r>
        <w:rPr>
          <w:rFonts w:cs="Arial"/>
          <w:b w:val="0"/>
          <w:kern w:val="2"/>
          <w:szCs w:val="20"/>
        </w:rPr>
        <w:t>network</w:t>
      </w:r>
      <w:r w:rsidR="0088016B">
        <w:rPr>
          <w:rFonts w:cs="Arial"/>
          <w:b w:val="0"/>
          <w:kern w:val="2"/>
          <w:szCs w:val="20"/>
        </w:rPr>
        <w:t xml:space="preserve"> should be able to configure the UE with beam-based moblity events so the UE </w:t>
      </w:r>
      <w:r>
        <w:rPr>
          <w:rFonts w:cs="Arial"/>
          <w:b w:val="0"/>
          <w:kern w:val="2"/>
          <w:szCs w:val="20"/>
        </w:rPr>
        <w:t xml:space="preserve">should </w:t>
      </w:r>
      <w:r w:rsidR="0088016B">
        <w:rPr>
          <w:rFonts w:cs="Arial"/>
          <w:b w:val="0"/>
          <w:kern w:val="2"/>
          <w:szCs w:val="20"/>
        </w:rPr>
        <w:t>report beam-based RSRP information.</w:t>
      </w:r>
    </w:p>
    <w:p w14:paraId="2A61BF35" w14:textId="5D3179A5" w:rsidR="0088016B" w:rsidRDefault="0088016B" w:rsidP="00D8203B">
      <w:pPr>
        <w:pStyle w:val="TOC1"/>
        <w:ind w:left="0" w:firstLine="0"/>
        <w:jc w:val="both"/>
        <w:rPr>
          <w:rFonts w:cs="Arial"/>
          <w:b w:val="0"/>
          <w:kern w:val="2"/>
          <w:szCs w:val="20"/>
        </w:rPr>
      </w:pPr>
    </w:p>
    <w:p w14:paraId="068377C7" w14:textId="6557CFE8" w:rsidR="0088016B" w:rsidRPr="00EC4C96" w:rsidRDefault="00EC4C96" w:rsidP="00EC4C96">
      <w:pPr>
        <w:pStyle w:val="Proposal"/>
        <w:rPr>
          <w:rFonts w:ascii="Arial" w:hAnsi="Arial" w:cs="Arial"/>
          <w:sz w:val="20"/>
          <w:szCs w:val="20"/>
        </w:rPr>
      </w:pPr>
      <w:r w:rsidRPr="0081055B">
        <w:rPr>
          <w:rFonts w:ascii="Arial" w:hAnsi="Arial" w:cs="Arial"/>
          <w:sz w:val="20"/>
          <w:szCs w:val="20"/>
        </w:rPr>
        <w:t xml:space="preserve">NR measurement reports should </w:t>
      </w:r>
      <w:r>
        <w:rPr>
          <w:rFonts w:ascii="Arial" w:hAnsi="Arial" w:cs="Arial"/>
          <w:sz w:val="20"/>
          <w:szCs w:val="20"/>
        </w:rPr>
        <w:t xml:space="preserve">carry </w:t>
      </w:r>
      <w:r w:rsidRPr="00EC4C96">
        <w:rPr>
          <w:rFonts w:ascii="Arial" w:hAnsi="Arial" w:cs="Arial"/>
          <w:sz w:val="20"/>
          <w:szCs w:val="20"/>
        </w:rPr>
        <w:t xml:space="preserve">beam-based RSRP information </w:t>
      </w:r>
      <w:r>
        <w:rPr>
          <w:rFonts w:ascii="Arial" w:hAnsi="Arial" w:cs="Arial"/>
          <w:sz w:val="20"/>
          <w:szCs w:val="20"/>
        </w:rPr>
        <w:t>if UE is configured with beam-based mobility events based on additional RS</w:t>
      </w:r>
    </w:p>
    <w:p w14:paraId="5F5A35BA" w14:textId="77777777" w:rsidR="00EC4C96" w:rsidRDefault="00EC4C96" w:rsidP="00D8203B">
      <w:pPr>
        <w:pStyle w:val="TOC1"/>
        <w:ind w:left="0" w:firstLine="0"/>
        <w:jc w:val="both"/>
        <w:rPr>
          <w:rFonts w:cs="Arial"/>
          <w:b w:val="0"/>
          <w:kern w:val="2"/>
          <w:szCs w:val="20"/>
        </w:rPr>
      </w:pPr>
    </w:p>
    <w:p w14:paraId="5A8912D6" w14:textId="6A4BEE21" w:rsidR="00EC4C96" w:rsidRDefault="00EC4C96" w:rsidP="00D8203B">
      <w:pPr>
        <w:pStyle w:val="TOC1"/>
        <w:ind w:left="0" w:firstLine="0"/>
        <w:jc w:val="both"/>
        <w:rPr>
          <w:rFonts w:cs="Arial"/>
          <w:b w:val="0"/>
          <w:kern w:val="2"/>
          <w:szCs w:val="20"/>
        </w:rPr>
      </w:pPr>
      <w:r>
        <w:rPr>
          <w:rFonts w:cs="Arial"/>
          <w:b w:val="0"/>
          <w:kern w:val="2"/>
          <w:szCs w:val="20"/>
        </w:rPr>
        <w:t xml:space="preserve">As explained in </w:t>
      </w:r>
      <w:r>
        <w:rPr>
          <w:rFonts w:cs="Arial"/>
          <w:b w:val="0"/>
          <w:kern w:val="2"/>
          <w:szCs w:val="20"/>
        </w:rPr>
        <w:fldChar w:fldCharType="begin"/>
      </w:r>
      <w:r>
        <w:rPr>
          <w:rFonts w:cs="Arial"/>
          <w:b w:val="0"/>
          <w:kern w:val="2"/>
          <w:szCs w:val="20"/>
        </w:rPr>
        <w:instrText xml:space="preserve"> REF _Ref473912073 \n \h </w:instrText>
      </w:r>
      <w:r>
        <w:rPr>
          <w:rFonts w:cs="Arial"/>
          <w:b w:val="0"/>
          <w:kern w:val="2"/>
          <w:szCs w:val="20"/>
        </w:rPr>
      </w:r>
      <w:r>
        <w:rPr>
          <w:rFonts w:cs="Arial"/>
          <w:b w:val="0"/>
          <w:kern w:val="2"/>
          <w:szCs w:val="20"/>
        </w:rPr>
        <w:fldChar w:fldCharType="separate"/>
      </w:r>
      <w:r>
        <w:rPr>
          <w:rFonts w:cs="Arial"/>
          <w:b w:val="0"/>
          <w:kern w:val="2"/>
          <w:szCs w:val="20"/>
        </w:rPr>
        <w:t>[2]</w:t>
      </w:r>
      <w:r>
        <w:rPr>
          <w:rFonts w:cs="Arial"/>
          <w:b w:val="0"/>
          <w:kern w:val="2"/>
          <w:szCs w:val="20"/>
        </w:rPr>
        <w:fldChar w:fldCharType="end"/>
      </w:r>
      <w:r>
        <w:rPr>
          <w:rFonts w:cs="Arial"/>
          <w:b w:val="0"/>
          <w:kern w:val="2"/>
          <w:szCs w:val="20"/>
        </w:rPr>
        <w:t>, there will also be scenarios where we benefit from info</w:t>
      </w:r>
      <w:r w:rsidR="002D00AE">
        <w:rPr>
          <w:rFonts w:cs="Arial"/>
          <w:b w:val="0"/>
          <w:kern w:val="2"/>
          <w:szCs w:val="20"/>
        </w:rPr>
        <w:t>rming the UE that a certain num</w:t>
      </w:r>
      <w:r>
        <w:rPr>
          <w:rFonts w:cs="Arial"/>
          <w:b w:val="0"/>
          <w:kern w:val="2"/>
          <w:szCs w:val="20"/>
        </w:rPr>
        <w:t xml:space="preserve">ber of beams for some kind of group such as a TRP or a cell. </w:t>
      </w:r>
      <w:r w:rsidR="002D00AE">
        <w:rPr>
          <w:rFonts w:cs="Arial"/>
          <w:b w:val="0"/>
          <w:kern w:val="2"/>
          <w:szCs w:val="20"/>
        </w:rPr>
        <w:t xml:space="preserve">Taking the exmaple of a cell, in </w:t>
      </w:r>
      <w:r>
        <w:rPr>
          <w:rFonts w:cs="Arial"/>
          <w:b w:val="0"/>
          <w:kern w:val="2"/>
          <w:szCs w:val="20"/>
        </w:rPr>
        <w:t xml:space="preserve">that case it should be assumed that the UE has some means </w:t>
      </w:r>
      <w:r w:rsidR="002D00AE">
        <w:rPr>
          <w:rFonts w:cs="Arial"/>
          <w:b w:val="0"/>
          <w:kern w:val="2"/>
          <w:szCs w:val="20"/>
        </w:rPr>
        <w:t>to associate</w:t>
      </w:r>
      <w:r>
        <w:rPr>
          <w:rFonts w:cs="Arial"/>
          <w:b w:val="0"/>
          <w:kern w:val="2"/>
          <w:szCs w:val="20"/>
        </w:rPr>
        <w:t xml:space="preserve"> NR cells </w:t>
      </w:r>
      <w:r w:rsidR="002D00AE">
        <w:rPr>
          <w:rFonts w:cs="Arial"/>
          <w:b w:val="0"/>
          <w:kern w:val="2"/>
          <w:szCs w:val="20"/>
        </w:rPr>
        <w:t>to the beamformed</w:t>
      </w:r>
      <w:r>
        <w:rPr>
          <w:rFonts w:cs="Arial"/>
          <w:b w:val="0"/>
          <w:kern w:val="2"/>
          <w:szCs w:val="20"/>
        </w:rPr>
        <w:t xml:space="preserve"> additional RS.</w:t>
      </w:r>
      <w:r w:rsidR="002D00AE">
        <w:rPr>
          <w:rFonts w:cs="Arial"/>
          <w:b w:val="0"/>
          <w:kern w:val="2"/>
          <w:szCs w:val="20"/>
        </w:rPr>
        <w:t xml:space="preserve"> </w:t>
      </w:r>
      <w:r>
        <w:rPr>
          <w:rFonts w:cs="Arial"/>
          <w:b w:val="0"/>
          <w:kern w:val="2"/>
          <w:szCs w:val="20"/>
        </w:rPr>
        <w:t>In</w:t>
      </w:r>
      <w:r w:rsidR="002D00AE">
        <w:rPr>
          <w:rFonts w:cs="Arial"/>
          <w:b w:val="0"/>
          <w:kern w:val="2"/>
          <w:szCs w:val="20"/>
        </w:rPr>
        <w:t xml:space="preserve"> these cases, the network should be able to configure a cell based event for a group of beams defining a cell. In other words, the UE is able to trigger a cell based measurement report based on the beamformed additional RS. The open question that needs to be answered is whether the UE should only report the cell-based measurement or whether the UE should also report the RSRP values per beam (referred by implict or explicity beam identifier).</w:t>
      </w:r>
    </w:p>
    <w:p w14:paraId="766BC897" w14:textId="77777777" w:rsidR="002D00AE" w:rsidRDefault="002D00AE" w:rsidP="00D8203B">
      <w:pPr>
        <w:pStyle w:val="TOC1"/>
        <w:ind w:left="0" w:firstLine="0"/>
        <w:jc w:val="both"/>
        <w:rPr>
          <w:rFonts w:cs="Arial"/>
          <w:b w:val="0"/>
          <w:kern w:val="2"/>
          <w:szCs w:val="20"/>
        </w:rPr>
      </w:pPr>
    </w:p>
    <w:p w14:paraId="3E6F844B" w14:textId="77777777" w:rsidR="002D00AE" w:rsidRDefault="002D00AE" w:rsidP="002D00AE">
      <w:pPr>
        <w:pStyle w:val="Observation"/>
        <w:rPr>
          <w:rFonts w:ascii="Arial" w:hAnsi="Arial" w:cs="Arial"/>
          <w:sz w:val="20"/>
          <w:szCs w:val="20"/>
        </w:rPr>
      </w:pPr>
      <w:r>
        <w:rPr>
          <w:rFonts w:ascii="Arial" w:hAnsi="Arial" w:cs="Arial"/>
          <w:sz w:val="20"/>
          <w:szCs w:val="20"/>
        </w:rPr>
        <w:t>In some scenarios the UE should be able to associated groups of beam-specific additional RSs to a cell</w:t>
      </w:r>
    </w:p>
    <w:p w14:paraId="5D8996D3" w14:textId="2061AB43" w:rsidR="002D00AE" w:rsidRDefault="002D00AE" w:rsidP="002D00AE">
      <w:pPr>
        <w:pStyle w:val="Observation"/>
        <w:rPr>
          <w:rFonts w:ascii="Arial" w:hAnsi="Arial" w:cs="Arial"/>
          <w:sz w:val="20"/>
          <w:szCs w:val="20"/>
        </w:rPr>
      </w:pPr>
      <w:r>
        <w:rPr>
          <w:rFonts w:ascii="Arial" w:hAnsi="Arial" w:cs="Arial"/>
          <w:sz w:val="20"/>
          <w:szCs w:val="20"/>
        </w:rPr>
        <w:t>In these scenarios UE can trigger cell-based measurement reports based on additional RSs</w:t>
      </w:r>
    </w:p>
    <w:p w14:paraId="25E90189" w14:textId="6D59B178" w:rsidR="002D00AE" w:rsidRDefault="002D00AE" w:rsidP="002D00AE">
      <w:pPr>
        <w:pStyle w:val="Observation"/>
        <w:rPr>
          <w:rFonts w:ascii="Arial" w:hAnsi="Arial" w:cs="Arial"/>
          <w:sz w:val="20"/>
          <w:szCs w:val="20"/>
        </w:rPr>
      </w:pPr>
      <w:r>
        <w:rPr>
          <w:rFonts w:ascii="Arial" w:hAnsi="Arial" w:cs="Arial"/>
          <w:sz w:val="20"/>
          <w:szCs w:val="20"/>
        </w:rPr>
        <w:t>It is an open question whether these should contain only the cell-based RSRP or also beam-based RSRP values</w:t>
      </w:r>
    </w:p>
    <w:p w14:paraId="2B9063B6" w14:textId="53420AD7" w:rsidR="002D00AE" w:rsidRDefault="002D00AE" w:rsidP="00D8203B">
      <w:pPr>
        <w:pStyle w:val="TOC1"/>
        <w:ind w:left="0" w:firstLine="0"/>
        <w:jc w:val="both"/>
        <w:rPr>
          <w:rFonts w:cs="Arial"/>
          <w:b w:val="0"/>
          <w:kern w:val="2"/>
          <w:szCs w:val="20"/>
        </w:rPr>
      </w:pPr>
    </w:p>
    <w:p w14:paraId="3FCE261A" w14:textId="4471BDF7" w:rsidR="00D8203B" w:rsidRDefault="00D8203B" w:rsidP="00D8203B">
      <w:pPr>
        <w:pStyle w:val="TOC1"/>
        <w:ind w:left="0" w:firstLine="0"/>
        <w:jc w:val="both"/>
        <w:rPr>
          <w:rFonts w:cs="Arial"/>
          <w:b w:val="0"/>
          <w:kern w:val="2"/>
          <w:szCs w:val="20"/>
        </w:rPr>
      </w:pPr>
      <w:r w:rsidRPr="0081055B">
        <w:rPr>
          <w:rFonts w:cs="Arial"/>
          <w:b w:val="0"/>
          <w:kern w:val="2"/>
          <w:szCs w:val="20"/>
        </w:rPr>
        <w:t xml:space="preserve">We believe that reporting only cell-based measurements </w:t>
      </w:r>
      <w:r w:rsidR="002D00AE">
        <w:rPr>
          <w:rFonts w:cs="Arial"/>
          <w:b w:val="0"/>
          <w:kern w:val="2"/>
          <w:szCs w:val="20"/>
        </w:rPr>
        <w:t xml:space="preserve">might work, although it could </w:t>
      </w:r>
      <w:r w:rsidRPr="0081055B">
        <w:rPr>
          <w:rFonts w:cs="Arial"/>
          <w:b w:val="0"/>
          <w:kern w:val="2"/>
          <w:szCs w:val="20"/>
        </w:rPr>
        <w:t xml:space="preserve">limit the handover performance </w:t>
      </w:r>
      <w:r w:rsidR="002D00AE">
        <w:rPr>
          <w:rFonts w:cs="Arial"/>
          <w:b w:val="0"/>
          <w:kern w:val="2"/>
          <w:szCs w:val="20"/>
        </w:rPr>
        <w:t xml:space="preserve">in certain scenarios, </w:t>
      </w:r>
      <w:r w:rsidRPr="0081055B">
        <w:rPr>
          <w:rFonts w:cs="Arial"/>
          <w:b w:val="0"/>
          <w:kern w:val="2"/>
          <w:szCs w:val="20"/>
        </w:rPr>
        <w:t xml:space="preserve">compared to the case where beam-specific measurements are reported. For example, if only cell-based measurements are reported the serving gNB would request  the target gNB to accept a handover without </w:t>
      </w:r>
      <w:r w:rsidR="002D00AE">
        <w:rPr>
          <w:rFonts w:cs="Arial"/>
          <w:b w:val="0"/>
          <w:kern w:val="2"/>
          <w:szCs w:val="20"/>
        </w:rPr>
        <w:t xml:space="preserve">knwoing </w:t>
      </w:r>
      <w:r w:rsidRPr="0081055B">
        <w:rPr>
          <w:rFonts w:cs="Arial"/>
          <w:b w:val="0"/>
          <w:kern w:val="2"/>
          <w:szCs w:val="20"/>
        </w:rPr>
        <w:t xml:space="preserve">to which beam and/or group of beams the candidate UE would be served while </w:t>
      </w:r>
      <w:r w:rsidR="002D00AE">
        <w:rPr>
          <w:rFonts w:cs="Arial"/>
          <w:b w:val="0"/>
          <w:kern w:val="2"/>
          <w:szCs w:val="20"/>
        </w:rPr>
        <w:t xml:space="preserve">some </w:t>
      </w:r>
      <w:r w:rsidRPr="0081055B">
        <w:rPr>
          <w:rFonts w:cs="Arial"/>
          <w:b w:val="0"/>
          <w:kern w:val="2"/>
          <w:szCs w:val="20"/>
        </w:rPr>
        <w:t xml:space="preserve">knowledge of the strongest beam-specific RSs detected by the UE enables the target gNB to take into account other aspects such as load in a higher granularity than in a cell level. </w:t>
      </w:r>
      <w:r w:rsidR="002D00AE">
        <w:rPr>
          <w:rFonts w:cs="Arial"/>
          <w:b w:val="0"/>
          <w:kern w:val="2"/>
          <w:szCs w:val="20"/>
        </w:rPr>
        <w:t xml:space="preserve">For example, </w:t>
      </w:r>
      <w:r w:rsidRPr="0081055B">
        <w:rPr>
          <w:rFonts w:cs="Arial"/>
          <w:b w:val="0"/>
          <w:kern w:val="2"/>
          <w:szCs w:val="20"/>
        </w:rPr>
        <w:t>in scenarios were a cel</w:t>
      </w:r>
      <w:r w:rsidR="002D00AE">
        <w:rPr>
          <w:rFonts w:cs="Arial"/>
          <w:b w:val="0"/>
          <w:kern w:val="2"/>
          <w:szCs w:val="20"/>
        </w:rPr>
        <w:t xml:space="preserve">l is comprised by multiple TRPs, </w:t>
      </w:r>
      <w:r w:rsidRPr="0081055B">
        <w:rPr>
          <w:rFonts w:cs="Arial"/>
          <w:b w:val="0"/>
          <w:kern w:val="2"/>
          <w:szCs w:val="20"/>
        </w:rPr>
        <w:t>the load of one TRP could be completely different from the load of another TRP although the UE might have sent a single cell-based measurement.</w:t>
      </w:r>
    </w:p>
    <w:p w14:paraId="5A919661" w14:textId="77777777" w:rsidR="002D00AE" w:rsidRPr="0081055B" w:rsidRDefault="002D00AE" w:rsidP="00D8203B">
      <w:pPr>
        <w:pStyle w:val="TOC1"/>
        <w:ind w:left="0" w:firstLine="0"/>
        <w:jc w:val="both"/>
        <w:rPr>
          <w:rFonts w:cs="Arial"/>
          <w:b w:val="0"/>
          <w:kern w:val="2"/>
          <w:szCs w:val="20"/>
        </w:rPr>
      </w:pPr>
    </w:p>
    <w:p w14:paraId="25608DCD" w14:textId="052FF415" w:rsidR="002D00AE" w:rsidRPr="002D00AE" w:rsidRDefault="002D00AE" w:rsidP="002D00AE">
      <w:pPr>
        <w:pStyle w:val="Observation"/>
        <w:rPr>
          <w:rFonts w:ascii="Arial" w:hAnsi="Arial" w:cs="Arial"/>
          <w:sz w:val="20"/>
          <w:szCs w:val="20"/>
        </w:rPr>
      </w:pPr>
      <w:r>
        <w:rPr>
          <w:rFonts w:ascii="Arial" w:hAnsi="Arial" w:cs="Arial"/>
          <w:sz w:val="20"/>
          <w:szCs w:val="20"/>
        </w:rPr>
        <w:t>The network would benefit from the knowledge of beam-specific RSRP in measurement reports in the case of additional RS</w:t>
      </w:r>
    </w:p>
    <w:p w14:paraId="2282ABCE" w14:textId="27EF6FDB" w:rsidR="00D8203B" w:rsidRPr="0081055B" w:rsidRDefault="00D8203B" w:rsidP="00D8203B">
      <w:pPr>
        <w:pStyle w:val="TOC1"/>
        <w:ind w:left="0" w:firstLine="0"/>
        <w:jc w:val="both"/>
        <w:rPr>
          <w:rFonts w:cs="Arial"/>
          <w:b w:val="0"/>
          <w:kern w:val="2"/>
          <w:szCs w:val="20"/>
        </w:rPr>
      </w:pPr>
      <w:r w:rsidRPr="0081055B">
        <w:rPr>
          <w:rFonts w:cs="Arial"/>
          <w:b w:val="0"/>
          <w:kern w:val="2"/>
          <w:szCs w:val="20"/>
        </w:rPr>
        <w:t xml:space="preserve">In addition, there is another aspect related to the PRACH configuration and the way the UE accesses a target cell. In high </w:t>
      </w:r>
      <w:r w:rsidR="002D00AE">
        <w:rPr>
          <w:rFonts w:cs="Arial"/>
          <w:b w:val="0"/>
          <w:kern w:val="2"/>
          <w:szCs w:val="20"/>
        </w:rPr>
        <w:t xml:space="preserve">frequency </w:t>
      </w:r>
      <w:r w:rsidRPr="0081055B">
        <w:rPr>
          <w:rFonts w:cs="Arial"/>
          <w:b w:val="0"/>
          <w:kern w:val="2"/>
          <w:szCs w:val="20"/>
        </w:rPr>
        <w:t>deployments, receiver beamforming might need to be applied at the base station for PRACH premable detection. To enable that, before the UE access a cell it should know the PRACH configuration that could be defined per DL beam the cell. If in these scenarios a handover needs to be executed only relying</w:t>
      </w:r>
      <w:r w:rsidR="009C2A60">
        <w:rPr>
          <w:rFonts w:cs="Arial"/>
          <w:b w:val="0"/>
          <w:kern w:val="2"/>
          <w:szCs w:val="20"/>
        </w:rPr>
        <w:t xml:space="preserve"> on the cell-based measurements, </w:t>
      </w:r>
      <w:r w:rsidRPr="0081055B">
        <w:rPr>
          <w:rFonts w:cs="Arial"/>
          <w:b w:val="0"/>
          <w:kern w:val="2"/>
          <w:szCs w:val="20"/>
        </w:rPr>
        <w:t>the target gNB would not provide PRACH information per b</w:t>
      </w:r>
      <w:r w:rsidR="009C2A60">
        <w:rPr>
          <w:rFonts w:cs="Arial"/>
          <w:b w:val="0"/>
          <w:kern w:val="2"/>
          <w:szCs w:val="20"/>
        </w:rPr>
        <w:t>eam so that upon the UE receiving</w:t>
      </w:r>
      <w:r w:rsidRPr="0081055B">
        <w:rPr>
          <w:rFonts w:cs="Arial"/>
          <w:b w:val="0"/>
          <w:kern w:val="2"/>
          <w:szCs w:val="20"/>
        </w:rPr>
        <w:t xml:space="preserve"> a handover command it would first need to read the system information from the target cell before the UE can access the target cell which may </w:t>
      </w:r>
      <w:r w:rsidR="009C2A60">
        <w:rPr>
          <w:rFonts w:cs="Arial"/>
          <w:b w:val="0"/>
          <w:kern w:val="2"/>
          <w:szCs w:val="20"/>
        </w:rPr>
        <w:t xml:space="preserve">increase </w:t>
      </w:r>
      <w:r w:rsidRPr="0081055B">
        <w:rPr>
          <w:rFonts w:cs="Arial"/>
          <w:b w:val="0"/>
          <w:kern w:val="2"/>
          <w:szCs w:val="20"/>
        </w:rPr>
        <w:t xml:space="preserve">complexity and delay the handover procedure. </w:t>
      </w:r>
    </w:p>
    <w:p w14:paraId="1AE931B3" w14:textId="4145BC25" w:rsidR="00D8203B" w:rsidRDefault="00D8203B" w:rsidP="00D8203B">
      <w:pPr>
        <w:pStyle w:val="Observation"/>
        <w:numPr>
          <w:ilvl w:val="0"/>
          <w:numId w:val="0"/>
        </w:numPr>
        <w:rPr>
          <w:rFonts w:ascii="Arial" w:hAnsi="Arial" w:cs="Arial"/>
          <w:sz w:val="20"/>
          <w:szCs w:val="20"/>
        </w:rPr>
      </w:pPr>
    </w:p>
    <w:p w14:paraId="695EC4E6" w14:textId="7F9AD9FF" w:rsidR="00BC0E6A" w:rsidRPr="009C2A60" w:rsidRDefault="009C2A60" w:rsidP="009C2A60">
      <w:pPr>
        <w:pStyle w:val="Proposal"/>
        <w:rPr>
          <w:rFonts w:ascii="Arial" w:hAnsi="Arial" w:cs="Arial"/>
          <w:sz w:val="20"/>
          <w:szCs w:val="20"/>
        </w:rPr>
      </w:pPr>
      <w:r w:rsidRPr="0081055B">
        <w:rPr>
          <w:rFonts w:ascii="Arial" w:hAnsi="Arial" w:cs="Arial"/>
          <w:sz w:val="20"/>
          <w:szCs w:val="20"/>
        </w:rPr>
        <w:t xml:space="preserve">NR measurement reports should </w:t>
      </w:r>
      <w:r>
        <w:rPr>
          <w:rFonts w:ascii="Arial" w:hAnsi="Arial" w:cs="Arial"/>
          <w:sz w:val="20"/>
          <w:szCs w:val="20"/>
        </w:rPr>
        <w:t xml:space="preserve">carry both cell-based RSRP and </w:t>
      </w:r>
      <w:r w:rsidRPr="00EC4C96">
        <w:rPr>
          <w:rFonts w:ascii="Arial" w:hAnsi="Arial" w:cs="Arial"/>
          <w:sz w:val="20"/>
          <w:szCs w:val="20"/>
        </w:rPr>
        <w:t xml:space="preserve">beam-based RSRP information </w:t>
      </w:r>
      <w:r>
        <w:rPr>
          <w:rFonts w:ascii="Arial" w:hAnsi="Arial" w:cs="Arial"/>
          <w:sz w:val="20"/>
          <w:szCs w:val="20"/>
        </w:rPr>
        <w:t>if UE is configured with cell-based mobility events based on additional RS</w:t>
      </w:r>
    </w:p>
    <w:p w14:paraId="3800B81C" w14:textId="0A0688A3" w:rsidR="00D8203B" w:rsidRPr="00050B9F" w:rsidRDefault="00D8203B" w:rsidP="00050B9F">
      <w:pPr>
        <w:pStyle w:val="Observation"/>
        <w:numPr>
          <w:ilvl w:val="0"/>
          <w:numId w:val="0"/>
        </w:numPr>
        <w:jc w:val="both"/>
        <w:rPr>
          <w:rFonts w:ascii="Arial" w:hAnsi="Arial" w:cs="Arial"/>
          <w:b w:val="0"/>
          <w:kern w:val="2"/>
          <w:sz w:val="20"/>
          <w:szCs w:val="20"/>
        </w:rPr>
      </w:pPr>
      <w:r w:rsidRPr="009C2A60">
        <w:rPr>
          <w:rFonts w:ascii="Arial" w:hAnsi="Arial" w:cs="Arial"/>
          <w:b w:val="0"/>
          <w:kern w:val="2"/>
          <w:sz w:val="20"/>
          <w:szCs w:val="20"/>
        </w:rPr>
        <w:t>In a subsequent contribution we treat in more details how filtering per group of beam should be performed i.e. whether based on the average of N strongest beams, only based on the occurrence of the strongest beam per cell/group, etc.</w:t>
      </w:r>
      <w:r w:rsidR="00050B9F">
        <w:rPr>
          <w:rFonts w:ascii="Arial" w:hAnsi="Arial" w:cs="Arial"/>
          <w:b w:val="0"/>
          <w:kern w:val="2"/>
          <w:sz w:val="20"/>
          <w:szCs w:val="20"/>
        </w:rPr>
        <w:t xml:space="preserve"> </w:t>
      </w:r>
      <w:r w:rsidR="00050B9F">
        <w:rPr>
          <w:rFonts w:ascii="Arial" w:hAnsi="Arial" w:cs="Arial"/>
          <w:b w:val="0"/>
          <w:kern w:val="2"/>
          <w:sz w:val="20"/>
          <w:szCs w:val="20"/>
        </w:rPr>
        <w:fldChar w:fldCharType="begin"/>
      </w:r>
      <w:r w:rsidR="00050B9F">
        <w:rPr>
          <w:rFonts w:ascii="Arial" w:hAnsi="Arial" w:cs="Arial"/>
          <w:b w:val="0"/>
          <w:kern w:val="2"/>
          <w:sz w:val="20"/>
          <w:szCs w:val="20"/>
        </w:rPr>
        <w:instrText xml:space="preserve"> REF _Ref473915865 \n \h </w:instrText>
      </w:r>
      <w:r w:rsidR="00050B9F">
        <w:rPr>
          <w:rFonts w:ascii="Arial" w:hAnsi="Arial" w:cs="Arial"/>
          <w:b w:val="0"/>
          <w:kern w:val="2"/>
          <w:sz w:val="20"/>
          <w:szCs w:val="20"/>
        </w:rPr>
      </w:r>
      <w:r w:rsidR="00050B9F">
        <w:rPr>
          <w:rFonts w:ascii="Arial" w:hAnsi="Arial" w:cs="Arial"/>
          <w:b w:val="0"/>
          <w:kern w:val="2"/>
          <w:sz w:val="20"/>
          <w:szCs w:val="20"/>
        </w:rPr>
        <w:fldChar w:fldCharType="separate"/>
      </w:r>
      <w:r w:rsidR="00050B9F">
        <w:rPr>
          <w:rFonts w:ascii="Arial" w:hAnsi="Arial" w:cs="Arial"/>
          <w:b w:val="0"/>
          <w:kern w:val="2"/>
          <w:sz w:val="20"/>
          <w:szCs w:val="20"/>
        </w:rPr>
        <w:t>[3]</w:t>
      </w:r>
      <w:r w:rsidR="00050B9F">
        <w:rPr>
          <w:rFonts w:ascii="Arial" w:hAnsi="Arial" w:cs="Arial"/>
          <w:b w:val="0"/>
          <w:kern w:val="2"/>
          <w:sz w:val="20"/>
          <w:szCs w:val="20"/>
        </w:rPr>
        <w:fldChar w:fldCharType="end"/>
      </w:r>
      <w:r w:rsidR="00050B9F">
        <w:rPr>
          <w:rFonts w:ascii="Arial" w:hAnsi="Arial" w:cs="Arial"/>
          <w:b w:val="0"/>
          <w:kern w:val="2"/>
          <w:sz w:val="20"/>
          <w:szCs w:val="20"/>
        </w:rPr>
        <w:t>.</w:t>
      </w:r>
      <w:r w:rsidRPr="009C2A60">
        <w:rPr>
          <w:rFonts w:ascii="Arial" w:hAnsi="Arial" w:cs="Arial"/>
          <w:b w:val="0"/>
          <w:kern w:val="2"/>
          <w:sz w:val="20"/>
          <w:szCs w:val="20"/>
        </w:rPr>
        <w:t xml:space="preserve"> In another contribution it the implications of the different content of the handover command </w:t>
      </w:r>
      <w:r w:rsidR="00676AF2" w:rsidRPr="009C2A60">
        <w:rPr>
          <w:rFonts w:ascii="Arial" w:hAnsi="Arial" w:cs="Arial"/>
          <w:b w:val="0"/>
          <w:kern w:val="2"/>
          <w:sz w:val="20"/>
          <w:szCs w:val="20"/>
        </w:rPr>
        <w:t>is also explained</w:t>
      </w:r>
      <w:r w:rsidR="00050B9F">
        <w:rPr>
          <w:rFonts w:ascii="Arial" w:hAnsi="Arial" w:cs="Arial"/>
          <w:b w:val="0"/>
          <w:kern w:val="2"/>
          <w:sz w:val="20"/>
          <w:szCs w:val="20"/>
        </w:rPr>
        <w:t xml:space="preserve"> </w:t>
      </w:r>
      <w:r w:rsidR="00050B9F">
        <w:rPr>
          <w:rFonts w:ascii="Arial" w:hAnsi="Arial" w:cs="Arial"/>
          <w:b w:val="0"/>
          <w:kern w:val="2"/>
          <w:sz w:val="20"/>
          <w:szCs w:val="20"/>
        </w:rPr>
        <w:fldChar w:fldCharType="begin"/>
      </w:r>
      <w:r w:rsidR="00050B9F">
        <w:rPr>
          <w:rFonts w:ascii="Arial" w:hAnsi="Arial" w:cs="Arial"/>
          <w:b w:val="0"/>
          <w:kern w:val="2"/>
          <w:sz w:val="20"/>
          <w:szCs w:val="20"/>
        </w:rPr>
        <w:instrText xml:space="preserve"> REF _Ref473915905 \n \h </w:instrText>
      </w:r>
      <w:r w:rsidR="00050B9F">
        <w:rPr>
          <w:rFonts w:ascii="Arial" w:hAnsi="Arial" w:cs="Arial"/>
          <w:b w:val="0"/>
          <w:kern w:val="2"/>
          <w:sz w:val="20"/>
          <w:szCs w:val="20"/>
        </w:rPr>
      </w:r>
      <w:r w:rsidR="00050B9F">
        <w:rPr>
          <w:rFonts w:ascii="Arial" w:hAnsi="Arial" w:cs="Arial"/>
          <w:b w:val="0"/>
          <w:kern w:val="2"/>
          <w:sz w:val="20"/>
          <w:szCs w:val="20"/>
        </w:rPr>
        <w:fldChar w:fldCharType="separate"/>
      </w:r>
      <w:r w:rsidR="00050B9F">
        <w:rPr>
          <w:rFonts w:ascii="Arial" w:hAnsi="Arial" w:cs="Arial"/>
          <w:b w:val="0"/>
          <w:kern w:val="2"/>
          <w:sz w:val="20"/>
          <w:szCs w:val="20"/>
        </w:rPr>
        <w:t>[4]</w:t>
      </w:r>
      <w:r w:rsidR="00050B9F">
        <w:rPr>
          <w:rFonts w:ascii="Arial" w:hAnsi="Arial" w:cs="Arial"/>
          <w:b w:val="0"/>
          <w:kern w:val="2"/>
          <w:sz w:val="20"/>
          <w:szCs w:val="20"/>
        </w:rPr>
        <w:fldChar w:fldCharType="end"/>
      </w:r>
      <w:r w:rsidR="00050B9F">
        <w:rPr>
          <w:rFonts w:ascii="Arial" w:hAnsi="Arial" w:cs="Arial"/>
          <w:b w:val="0"/>
          <w:kern w:val="2"/>
          <w:sz w:val="20"/>
          <w:szCs w:val="20"/>
        </w:rPr>
        <w:t>.</w:t>
      </w:r>
    </w:p>
    <w:p w14:paraId="0EA3E36A" w14:textId="77777777" w:rsidR="00D8203B" w:rsidRPr="0081055B" w:rsidRDefault="00D8203B" w:rsidP="00D8203B">
      <w:pPr>
        <w:pStyle w:val="Heading1"/>
        <w:rPr>
          <w:lang w:val="en-US"/>
        </w:rPr>
      </w:pPr>
      <w:bookmarkStart w:id="4" w:name="_Toc461106288"/>
      <w:bookmarkEnd w:id="2"/>
      <w:bookmarkEnd w:id="4"/>
      <w:r w:rsidRPr="0081055B">
        <w:rPr>
          <w:lang w:val="en-US"/>
        </w:rPr>
        <w:t>Conclusion</w:t>
      </w:r>
    </w:p>
    <w:p w14:paraId="405819CC" w14:textId="77777777" w:rsidR="00D8203B" w:rsidRPr="0081055B" w:rsidRDefault="00D8203B" w:rsidP="00D8203B">
      <w:pPr>
        <w:pStyle w:val="Proposal"/>
        <w:numPr>
          <w:ilvl w:val="0"/>
          <w:numId w:val="0"/>
        </w:numPr>
        <w:rPr>
          <w:rFonts w:ascii="Arial" w:hAnsi="Arial" w:cs="Arial"/>
          <w:b w:val="0"/>
          <w:sz w:val="20"/>
        </w:rPr>
      </w:pPr>
      <w:r w:rsidRPr="0081055B">
        <w:rPr>
          <w:rFonts w:ascii="Arial" w:hAnsi="Arial" w:cs="Arial"/>
          <w:b w:val="0"/>
          <w:sz w:val="20"/>
        </w:rPr>
        <w:t>In this contribution, the following observations were made:</w:t>
      </w:r>
    </w:p>
    <w:p w14:paraId="533FF06E" w14:textId="34DA41DE" w:rsidR="006276C5" w:rsidRPr="006276C5" w:rsidRDefault="006276C5" w:rsidP="006276C5">
      <w:pPr>
        <w:pStyle w:val="Observation"/>
        <w:numPr>
          <w:ilvl w:val="0"/>
          <w:numId w:val="18"/>
        </w:numPr>
        <w:ind w:left="1701" w:hanging="1701"/>
        <w:jc w:val="both"/>
        <w:rPr>
          <w:rFonts w:ascii="Arial" w:hAnsi="Arial" w:cs="Arial"/>
          <w:sz w:val="20"/>
        </w:rPr>
      </w:pPr>
      <w:r w:rsidRPr="006276C5">
        <w:rPr>
          <w:rFonts w:ascii="Arial" w:hAnsi="Arial" w:cs="Arial"/>
          <w:kern w:val="2"/>
          <w:sz w:val="20"/>
          <w:szCs w:val="20"/>
        </w:rPr>
        <w:t>The content of RRC measurement reports should suffice the serving gNB to make a proper handover decision and send a handover command that contains sufficient information so the UE can access a target cell</w:t>
      </w:r>
    </w:p>
    <w:p w14:paraId="0E1BB57A" w14:textId="77777777" w:rsidR="006276C5" w:rsidRDefault="006276C5" w:rsidP="006276C5">
      <w:pPr>
        <w:pStyle w:val="Observation"/>
        <w:jc w:val="both"/>
        <w:rPr>
          <w:rFonts w:ascii="Arial" w:hAnsi="Arial" w:cs="Arial"/>
          <w:sz w:val="20"/>
          <w:szCs w:val="20"/>
        </w:rPr>
      </w:pPr>
      <w:r w:rsidRPr="006B67CF">
        <w:rPr>
          <w:rFonts w:ascii="Arial" w:hAnsi="Arial" w:cs="Arial"/>
          <w:sz w:val="20"/>
          <w:szCs w:val="20"/>
        </w:rPr>
        <w:t>In LTE measurement reports per cell are sufficient to allow the serving cell to make proper handover decisions and/or to allow the target cell to provide the sufficient information so the UE can access it</w:t>
      </w:r>
    </w:p>
    <w:p w14:paraId="1992F4F5" w14:textId="78E54B7B" w:rsidR="006276C5" w:rsidRDefault="006276C5" w:rsidP="006276C5">
      <w:pPr>
        <w:pStyle w:val="Observation"/>
        <w:jc w:val="both"/>
        <w:rPr>
          <w:rFonts w:ascii="Arial" w:hAnsi="Arial" w:cs="Arial"/>
          <w:sz w:val="20"/>
          <w:szCs w:val="20"/>
        </w:rPr>
      </w:pPr>
      <w:r w:rsidRPr="006B67CF">
        <w:rPr>
          <w:rFonts w:ascii="Arial" w:hAnsi="Arial" w:cs="Arial"/>
          <w:sz w:val="20"/>
          <w:szCs w:val="20"/>
        </w:rPr>
        <w:t>NR measurement reports per cell are sufficient if NR is deployed in the same frequencies as in LTE today and/or under certain antenna configurations</w:t>
      </w:r>
    </w:p>
    <w:p w14:paraId="3A00D5D9" w14:textId="77777777" w:rsidR="006276C5" w:rsidRDefault="006276C5" w:rsidP="006276C5">
      <w:pPr>
        <w:pStyle w:val="Observation"/>
        <w:jc w:val="both"/>
        <w:rPr>
          <w:rFonts w:ascii="Arial" w:hAnsi="Arial" w:cs="Arial"/>
          <w:sz w:val="20"/>
          <w:szCs w:val="20"/>
        </w:rPr>
      </w:pPr>
      <w:r>
        <w:rPr>
          <w:rFonts w:ascii="Arial" w:hAnsi="Arial" w:cs="Arial"/>
          <w:sz w:val="20"/>
          <w:szCs w:val="20"/>
        </w:rPr>
        <w:t>In some scenarios the UE should be able to associated groups of beam-specific additional RSs to a cell</w:t>
      </w:r>
    </w:p>
    <w:p w14:paraId="4D18BAE0" w14:textId="77777777" w:rsidR="006276C5" w:rsidRDefault="006276C5" w:rsidP="006276C5">
      <w:pPr>
        <w:pStyle w:val="Observation"/>
        <w:jc w:val="both"/>
        <w:rPr>
          <w:rFonts w:ascii="Arial" w:hAnsi="Arial" w:cs="Arial"/>
          <w:sz w:val="20"/>
          <w:szCs w:val="20"/>
        </w:rPr>
      </w:pPr>
      <w:r>
        <w:rPr>
          <w:rFonts w:ascii="Arial" w:hAnsi="Arial" w:cs="Arial"/>
          <w:sz w:val="20"/>
          <w:szCs w:val="20"/>
        </w:rPr>
        <w:t>In these scenarios UE can trigger cell-based measurement reports based on additional RSs</w:t>
      </w:r>
    </w:p>
    <w:p w14:paraId="48C6036F" w14:textId="77777777" w:rsidR="006276C5" w:rsidRDefault="006276C5" w:rsidP="006276C5">
      <w:pPr>
        <w:pStyle w:val="Observation"/>
        <w:jc w:val="both"/>
        <w:rPr>
          <w:rFonts w:ascii="Arial" w:hAnsi="Arial" w:cs="Arial"/>
          <w:sz w:val="20"/>
          <w:szCs w:val="20"/>
        </w:rPr>
      </w:pPr>
      <w:r>
        <w:rPr>
          <w:rFonts w:ascii="Arial" w:hAnsi="Arial" w:cs="Arial"/>
          <w:sz w:val="20"/>
          <w:szCs w:val="20"/>
        </w:rPr>
        <w:t>It is an open question whether these should contain only the cell-based RSRP or also beam-based RSRP values</w:t>
      </w:r>
    </w:p>
    <w:p w14:paraId="3E08DD41" w14:textId="77777777" w:rsidR="006276C5" w:rsidRPr="002D00AE" w:rsidRDefault="006276C5" w:rsidP="006276C5">
      <w:pPr>
        <w:pStyle w:val="Observation"/>
        <w:rPr>
          <w:rFonts w:ascii="Arial" w:hAnsi="Arial" w:cs="Arial"/>
          <w:sz w:val="20"/>
          <w:szCs w:val="20"/>
        </w:rPr>
      </w:pPr>
      <w:r>
        <w:rPr>
          <w:rFonts w:ascii="Arial" w:hAnsi="Arial" w:cs="Arial"/>
          <w:sz w:val="20"/>
          <w:szCs w:val="20"/>
        </w:rPr>
        <w:t>The network would benefit from the knowledge of beam-specific RSRP in measurement reports in the case of additional RS</w:t>
      </w:r>
    </w:p>
    <w:p w14:paraId="0F8D94F0" w14:textId="7235E75A" w:rsidR="006276C5" w:rsidRPr="002803F3" w:rsidRDefault="006276C5" w:rsidP="006276C5">
      <w:pPr>
        <w:pStyle w:val="Observation"/>
        <w:numPr>
          <w:ilvl w:val="0"/>
          <w:numId w:val="0"/>
        </w:numPr>
        <w:ind w:left="1701" w:hanging="1701"/>
        <w:rPr>
          <w:rFonts w:ascii="Arial" w:hAnsi="Arial" w:cs="Arial"/>
          <w:sz w:val="20"/>
          <w:szCs w:val="20"/>
        </w:rPr>
      </w:pPr>
    </w:p>
    <w:p w14:paraId="4B9698E5" w14:textId="16C813A2" w:rsidR="00D8203B" w:rsidRPr="0081055B" w:rsidRDefault="00D8203B" w:rsidP="00D8203B">
      <w:pPr>
        <w:pStyle w:val="Proposal"/>
        <w:numPr>
          <w:ilvl w:val="0"/>
          <w:numId w:val="0"/>
        </w:numPr>
        <w:rPr>
          <w:rFonts w:ascii="Arial" w:hAnsi="Arial" w:cs="Arial"/>
          <w:b w:val="0"/>
          <w:sz w:val="20"/>
        </w:rPr>
      </w:pPr>
      <w:r w:rsidRPr="0081055B">
        <w:rPr>
          <w:rFonts w:ascii="Arial" w:hAnsi="Arial" w:cs="Arial"/>
          <w:b w:val="0"/>
          <w:sz w:val="20"/>
        </w:rPr>
        <w:t>Based on these observations the following has been proposed:</w:t>
      </w:r>
    </w:p>
    <w:p w14:paraId="61898C23" w14:textId="6DA41B6A" w:rsidR="006276C5" w:rsidRPr="006276C5" w:rsidRDefault="006276C5" w:rsidP="006276C5">
      <w:pPr>
        <w:pStyle w:val="Proposal"/>
        <w:numPr>
          <w:ilvl w:val="0"/>
          <w:numId w:val="17"/>
        </w:numPr>
        <w:jc w:val="both"/>
        <w:rPr>
          <w:rFonts w:ascii="Arial" w:hAnsi="Arial" w:cs="Arial"/>
          <w:sz w:val="20"/>
          <w:szCs w:val="20"/>
        </w:rPr>
      </w:pPr>
      <w:r w:rsidRPr="006276C5">
        <w:rPr>
          <w:rFonts w:ascii="Arial" w:hAnsi="Arial" w:cs="Arial"/>
          <w:sz w:val="20"/>
          <w:szCs w:val="20"/>
        </w:rPr>
        <w:t xml:space="preserve">NR measurement reports should carry only cell measurements if mobility events are configured for the IDLE RS </w:t>
      </w:r>
    </w:p>
    <w:p w14:paraId="359E8C10" w14:textId="77777777" w:rsidR="006276C5" w:rsidRPr="006276C5" w:rsidRDefault="006276C5" w:rsidP="006276C5">
      <w:pPr>
        <w:pStyle w:val="Proposal"/>
        <w:numPr>
          <w:ilvl w:val="0"/>
          <w:numId w:val="17"/>
        </w:numPr>
        <w:rPr>
          <w:rFonts w:ascii="Arial" w:hAnsi="Arial" w:cs="Arial"/>
          <w:sz w:val="20"/>
        </w:rPr>
      </w:pPr>
      <w:r w:rsidRPr="006276C5">
        <w:rPr>
          <w:rFonts w:ascii="Arial" w:hAnsi="Arial" w:cs="Arial"/>
          <w:sz w:val="20"/>
        </w:rPr>
        <w:t>NR measurement reports should carry beam-based RSRP information if UE is configured with beam-based mobility events based on additional RS</w:t>
      </w:r>
    </w:p>
    <w:p w14:paraId="734DA8DA" w14:textId="408CD8C1" w:rsidR="006276C5" w:rsidRPr="006276C5" w:rsidRDefault="006276C5" w:rsidP="006276C5">
      <w:pPr>
        <w:pStyle w:val="Proposal"/>
        <w:numPr>
          <w:ilvl w:val="0"/>
          <w:numId w:val="17"/>
        </w:numPr>
        <w:rPr>
          <w:rFonts w:ascii="Arial" w:hAnsi="Arial" w:cs="Arial"/>
          <w:sz w:val="20"/>
        </w:rPr>
      </w:pPr>
      <w:r w:rsidRPr="006276C5">
        <w:rPr>
          <w:rFonts w:ascii="Arial" w:hAnsi="Arial" w:cs="Arial"/>
          <w:sz w:val="20"/>
        </w:rPr>
        <w:t>NR measurement reports should carry both cell-based RSRP and beam-based RSRP information if UE is configured with cell-based mobility events based on additional RS</w:t>
      </w:r>
    </w:p>
    <w:p w14:paraId="127010A3" w14:textId="77777777" w:rsidR="00D8203B" w:rsidRPr="0081055B" w:rsidRDefault="00D8203B" w:rsidP="00D8203B">
      <w:pPr>
        <w:pStyle w:val="Heading1"/>
        <w:rPr>
          <w:lang w:val="en-US"/>
        </w:rPr>
      </w:pPr>
      <w:bookmarkStart w:id="5" w:name="_In-sequence_SDU_delivery"/>
      <w:bookmarkEnd w:id="5"/>
      <w:r w:rsidRPr="0081055B">
        <w:rPr>
          <w:lang w:val="en-US"/>
        </w:rPr>
        <w:t>References</w:t>
      </w:r>
    </w:p>
    <w:p w14:paraId="5463E18F" w14:textId="25DAF42F" w:rsidR="00601ACA" w:rsidRPr="006E64B5" w:rsidRDefault="00601ACA" w:rsidP="00601ACA">
      <w:pPr>
        <w:pStyle w:val="Reference"/>
        <w:jc w:val="both"/>
        <w:rPr>
          <w:rFonts w:ascii="Arial" w:hAnsi="Arial" w:cs="Arial"/>
          <w:sz w:val="20"/>
          <w:szCs w:val="20"/>
        </w:rPr>
      </w:pPr>
      <w:bookmarkStart w:id="6" w:name="_Ref471526599"/>
      <w:r w:rsidRPr="006E64B5">
        <w:rPr>
          <w:rFonts w:ascii="Arial" w:hAnsi="Arial" w:cs="Arial"/>
          <w:sz w:val="20"/>
          <w:szCs w:val="20"/>
        </w:rPr>
        <w:t>R2-1700648 LS on NR Mobility, RAN1, 3GPP TSG-RAN WG2 NR AdHoc, Spokane, USA, 17th – 19th January 2017.</w:t>
      </w:r>
    </w:p>
    <w:p w14:paraId="3335B658" w14:textId="31ECCB21" w:rsidR="00601ACA" w:rsidRPr="006E64B5" w:rsidRDefault="006E64B5" w:rsidP="006E64B5">
      <w:pPr>
        <w:pStyle w:val="Reference"/>
        <w:rPr>
          <w:rFonts w:ascii="Arial" w:hAnsi="Arial" w:cs="Arial"/>
          <w:sz w:val="20"/>
          <w:szCs w:val="20"/>
        </w:rPr>
      </w:pPr>
      <w:bookmarkStart w:id="7" w:name="_Ref473912073"/>
      <w:r w:rsidRPr="006E64B5">
        <w:rPr>
          <w:rFonts w:ascii="Arial" w:hAnsi="Arial" w:cs="Arial"/>
          <w:sz w:val="20"/>
          <w:szCs w:val="20"/>
        </w:rPr>
        <w:t>R2-1700859 RRC Measurement report triggering</w:t>
      </w:r>
      <w:r>
        <w:rPr>
          <w:rFonts w:ascii="Arial" w:hAnsi="Arial" w:cs="Arial"/>
          <w:sz w:val="20"/>
          <w:szCs w:val="20"/>
        </w:rPr>
        <w:t>,</w:t>
      </w:r>
      <w:r w:rsidRPr="006E64B5">
        <w:t xml:space="preserve"> </w:t>
      </w:r>
      <w:r w:rsidRPr="006E64B5">
        <w:rPr>
          <w:rFonts w:ascii="Arial" w:hAnsi="Arial" w:cs="Arial"/>
          <w:sz w:val="20"/>
          <w:szCs w:val="20"/>
        </w:rPr>
        <w:t>Ericsson, 3GPP TSG-RAN WG2 Meeting #97, Athens, Greece, 13th – 17th February 2017.</w:t>
      </w:r>
      <w:bookmarkEnd w:id="7"/>
      <w:r>
        <w:rPr>
          <w:rFonts w:ascii="Arial" w:hAnsi="Arial" w:cs="Arial"/>
          <w:sz w:val="20"/>
          <w:szCs w:val="20"/>
        </w:rPr>
        <w:t xml:space="preserve"> </w:t>
      </w:r>
    </w:p>
    <w:p w14:paraId="316C76AC" w14:textId="1677B54C" w:rsidR="00601ACA" w:rsidRPr="006D571C" w:rsidRDefault="002A50D7" w:rsidP="006D571C">
      <w:pPr>
        <w:pStyle w:val="Reference"/>
        <w:rPr>
          <w:rFonts w:ascii="Arial" w:hAnsi="Arial" w:cs="Arial"/>
          <w:sz w:val="20"/>
          <w:szCs w:val="20"/>
        </w:rPr>
      </w:pPr>
      <w:bookmarkStart w:id="8" w:name="_Ref473915865"/>
      <w:r w:rsidRPr="00E05B34">
        <w:rPr>
          <w:rFonts w:ascii="Arial" w:hAnsi="Arial" w:cs="Arial"/>
          <w:sz w:val="20"/>
          <w:szCs w:val="20"/>
        </w:rPr>
        <w:t>R2-1700861</w:t>
      </w:r>
      <w:r w:rsidRPr="00E05B34">
        <w:rPr>
          <w:rFonts w:ascii="Arial" w:hAnsi="Arial" w:cs="Arial"/>
          <w:sz w:val="20"/>
          <w:szCs w:val="20"/>
        </w:rPr>
        <w:tab/>
        <w:t>Filtering of RRM measurements in CONNECTED</w:t>
      </w:r>
      <w:r w:rsidR="00526C0D" w:rsidRPr="00E05B34">
        <w:rPr>
          <w:rFonts w:ascii="Arial" w:hAnsi="Arial" w:cs="Arial"/>
          <w:sz w:val="20"/>
          <w:szCs w:val="20"/>
        </w:rPr>
        <w:t>, Ericsson, 3GPP TSG-RAN WG2 Meeting #97</w:t>
      </w:r>
      <w:r w:rsidR="00D8203B" w:rsidRPr="00E05B34">
        <w:rPr>
          <w:rFonts w:ascii="Arial" w:hAnsi="Arial" w:cs="Arial"/>
          <w:sz w:val="20"/>
          <w:szCs w:val="20"/>
        </w:rPr>
        <w:t xml:space="preserve">, </w:t>
      </w:r>
      <w:r w:rsidR="00526C0D" w:rsidRPr="00E05B34">
        <w:rPr>
          <w:rFonts w:ascii="Arial" w:hAnsi="Arial" w:cs="Arial"/>
          <w:sz w:val="20"/>
          <w:szCs w:val="20"/>
        </w:rPr>
        <w:t>Athens, Greece, 13th – 17th February 2017</w:t>
      </w:r>
      <w:bookmarkEnd w:id="6"/>
      <w:r w:rsidR="00D8203B" w:rsidRPr="00E05B34">
        <w:rPr>
          <w:rFonts w:ascii="Arial" w:hAnsi="Arial" w:cs="Arial"/>
          <w:sz w:val="20"/>
          <w:szCs w:val="20"/>
        </w:rPr>
        <w:t>.</w:t>
      </w:r>
      <w:bookmarkEnd w:id="8"/>
    </w:p>
    <w:p w14:paraId="73356290" w14:textId="0B667499" w:rsidR="00526C0D" w:rsidRPr="00E05B34" w:rsidRDefault="00526C0D" w:rsidP="00526C0D">
      <w:pPr>
        <w:pStyle w:val="Reference"/>
        <w:rPr>
          <w:rFonts w:ascii="Arial" w:hAnsi="Arial" w:cs="Arial"/>
          <w:sz w:val="20"/>
          <w:szCs w:val="20"/>
        </w:rPr>
      </w:pPr>
      <w:bookmarkStart w:id="9" w:name="_Ref473915905"/>
      <w:bookmarkStart w:id="10" w:name="_Ref471526726"/>
      <w:r w:rsidRPr="00E05B34">
        <w:rPr>
          <w:rFonts w:ascii="Arial" w:hAnsi="Arial" w:cs="Arial"/>
          <w:sz w:val="20"/>
          <w:szCs w:val="20"/>
        </w:rPr>
        <w:t>R2-1700863</w:t>
      </w:r>
      <w:r w:rsidRPr="00E05B34">
        <w:rPr>
          <w:rFonts w:ascii="Arial" w:hAnsi="Arial" w:cs="Arial"/>
          <w:sz w:val="20"/>
          <w:szCs w:val="20"/>
        </w:rPr>
        <w:tab/>
        <w:t xml:space="preserve">Further details of handover execution, </w:t>
      </w:r>
      <w:r w:rsidR="00D8203B" w:rsidRPr="00E05B34">
        <w:rPr>
          <w:rFonts w:ascii="Arial" w:hAnsi="Arial" w:cs="Arial"/>
          <w:sz w:val="20"/>
          <w:szCs w:val="20"/>
        </w:rPr>
        <w:t>Ericsson</w:t>
      </w:r>
      <w:r w:rsidRPr="00E05B34">
        <w:rPr>
          <w:rFonts w:ascii="Arial" w:hAnsi="Arial" w:cs="Arial"/>
          <w:sz w:val="20"/>
          <w:szCs w:val="20"/>
        </w:rPr>
        <w:t>, 3GPP TSG-RAN WG2 Meeting #97, Athens, Greece, 13th – 17th February 2017.</w:t>
      </w:r>
      <w:bookmarkEnd w:id="9"/>
    </w:p>
    <w:bookmarkEnd w:id="10"/>
    <w:p w14:paraId="7AA6E6A4" w14:textId="08F20567" w:rsidR="003A7EF3" w:rsidRPr="00E05B34" w:rsidRDefault="003A7EF3" w:rsidP="00E05B34">
      <w:pPr>
        <w:pStyle w:val="Reference"/>
        <w:numPr>
          <w:ilvl w:val="0"/>
          <w:numId w:val="0"/>
        </w:numPr>
        <w:ind w:left="567"/>
        <w:rPr>
          <w:rFonts w:ascii="Arial" w:hAnsi="Arial" w:cs="Arial"/>
          <w:sz w:val="20"/>
          <w:szCs w:val="20"/>
        </w:rPr>
      </w:pPr>
    </w:p>
    <w:sectPr w:rsidR="003A7EF3" w:rsidRPr="00E05B3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63BA8" w14:textId="77777777" w:rsidR="00D85EF7" w:rsidRDefault="00D85EF7">
      <w:r>
        <w:separator/>
      </w:r>
    </w:p>
  </w:endnote>
  <w:endnote w:type="continuationSeparator" w:id="0">
    <w:p w14:paraId="7F61A4BD" w14:textId="77777777" w:rsidR="00D85EF7" w:rsidRDefault="00D85EF7">
      <w:r>
        <w:continuationSeparator/>
      </w:r>
    </w:p>
  </w:endnote>
  <w:endnote w:type="continuationNotice" w:id="1">
    <w:p w14:paraId="0DD323CC" w14:textId="77777777" w:rsidR="00D85EF7" w:rsidRDefault="00D85E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5A0DB57" w:rsidR="00D85EF7" w:rsidRDefault="00D85EF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B15C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15C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B184E" w14:textId="77777777" w:rsidR="00D85EF7" w:rsidRDefault="00D85EF7">
      <w:r>
        <w:separator/>
      </w:r>
    </w:p>
  </w:footnote>
  <w:footnote w:type="continuationSeparator" w:id="0">
    <w:p w14:paraId="399B1C2F" w14:textId="77777777" w:rsidR="00D85EF7" w:rsidRDefault="00D85EF7">
      <w:r>
        <w:continuationSeparator/>
      </w:r>
    </w:p>
  </w:footnote>
  <w:footnote w:type="continuationNotice" w:id="1">
    <w:p w14:paraId="04CE342E" w14:textId="77777777" w:rsidR="00D85EF7" w:rsidRDefault="00D85E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D85EF7" w:rsidRDefault="00D85E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A64E6AC"/>
    <w:lvl w:ilvl="0" w:tplc="D74E7EF2">
      <w:start w:val="1"/>
      <w:numFmt w:val="decimal"/>
      <w:pStyle w:val="Proposal"/>
      <w:lvlText w:val="Proposal %1"/>
      <w:lvlJc w:val="left"/>
      <w:pPr>
        <w:tabs>
          <w:tab w:val="num" w:pos="1304"/>
        </w:tabs>
        <w:ind w:left="1304" w:hanging="1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7"/>
  </w:num>
  <w:num w:numId="4">
    <w:abstractNumId w:val="8"/>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9"/>
  </w:num>
  <w:num w:numId="15">
    <w:abstractNumId w:val="14"/>
  </w:num>
  <w:num w:numId="16">
    <w:abstractNumId w:val="12"/>
    <w:lvlOverride w:ilvl="0">
      <w:startOverride w:val="1"/>
    </w:lvlOverride>
  </w:num>
  <w:num w:numId="17">
    <w:abstractNumId w:val="7"/>
    <w:lvlOverride w:ilvl="0">
      <w:startOverride w:val="1"/>
    </w:lvlOverride>
  </w:num>
  <w:num w:numId="18">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4E6A"/>
    <w:rsid w:val="00015D15"/>
    <w:rsid w:val="0002564D"/>
    <w:rsid w:val="00025ECA"/>
    <w:rsid w:val="00027939"/>
    <w:rsid w:val="000325B8"/>
    <w:rsid w:val="00034C15"/>
    <w:rsid w:val="00036BA1"/>
    <w:rsid w:val="000422E2"/>
    <w:rsid w:val="00042F22"/>
    <w:rsid w:val="000444EF"/>
    <w:rsid w:val="00050B9F"/>
    <w:rsid w:val="00052A07"/>
    <w:rsid w:val="000534E3"/>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1D60"/>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285"/>
    <w:rsid w:val="002617E7"/>
    <w:rsid w:val="00261FC8"/>
    <w:rsid w:val="00264228"/>
    <w:rsid w:val="00264334"/>
    <w:rsid w:val="0026473E"/>
    <w:rsid w:val="00266214"/>
    <w:rsid w:val="00267C83"/>
    <w:rsid w:val="0027144F"/>
    <w:rsid w:val="00271F3A"/>
    <w:rsid w:val="00273278"/>
    <w:rsid w:val="002737F4"/>
    <w:rsid w:val="002803F3"/>
    <w:rsid w:val="002805F5"/>
    <w:rsid w:val="00280751"/>
    <w:rsid w:val="0028280A"/>
    <w:rsid w:val="00286ACD"/>
    <w:rsid w:val="00287838"/>
    <w:rsid w:val="00287895"/>
    <w:rsid w:val="002907B5"/>
    <w:rsid w:val="00292EB7"/>
    <w:rsid w:val="00296227"/>
    <w:rsid w:val="00296F44"/>
    <w:rsid w:val="0029777D"/>
    <w:rsid w:val="002A055E"/>
    <w:rsid w:val="002A1D4E"/>
    <w:rsid w:val="002A2869"/>
    <w:rsid w:val="002A50D7"/>
    <w:rsid w:val="002B24D6"/>
    <w:rsid w:val="002C41E6"/>
    <w:rsid w:val="002D00AE"/>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07D7"/>
    <w:rsid w:val="00322C9F"/>
    <w:rsid w:val="00324D23"/>
    <w:rsid w:val="00331751"/>
    <w:rsid w:val="00334579"/>
    <w:rsid w:val="00335858"/>
    <w:rsid w:val="00336BDA"/>
    <w:rsid w:val="00342BD7"/>
    <w:rsid w:val="00343A07"/>
    <w:rsid w:val="00346DB5"/>
    <w:rsid w:val="003477B1"/>
    <w:rsid w:val="00351A57"/>
    <w:rsid w:val="0035482C"/>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87A"/>
    <w:rsid w:val="003D3C45"/>
    <w:rsid w:val="003D5B1F"/>
    <w:rsid w:val="003E15FA"/>
    <w:rsid w:val="003E55E4"/>
    <w:rsid w:val="003E74E3"/>
    <w:rsid w:val="003E75BA"/>
    <w:rsid w:val="003F05C7"/>
    <w:rsid w:val="003F2CD4"/>
    <w:rsid w:val="003F6BBE"/>
    <w:rsid w:val="004000E8"/>
    <w:rsid w:val="00402E2B"/>
    <w:rsid w:val="00403E95"/>
    <w:rsid w:val="0040512B"/>
    <w:rsid w:val="00405CA5"/>
    <w:rsid w:val="00407CD3"/>
    <w:rsid w:val="00410134"/>
    <w:rsid w:val="00410B72"/>
    <w:rsid w:val="00410F18"/>
    <w:rsid w:val="0041263E"/>
    <w:rsid w:val="00413AAC"/>
    <w:rsid w:val="00421105"/>
    <w:rsid w:val="004242F4"/>
    <w:rsid w:val="00427248"/>
    <w:rsid w:val="004351A3"/>
    <w:rsid w:val="00437447"/>
    <w:rsid w:val="00440B16"/>
    <w:rsid w:val="00441A92"/>
    <w:rsid w:val="00444F56"/>
    <w:rsid w:val="00446488"/>
    <w:rsid w:val="004517AA"/>
    <w:rsid w:val="00451811"/>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0BD6"/>
    <w:rsid w:val="004E1A9A"/>
    <w:rsid w:val="004E2680"/>
    <w:rsid w:val="004E28F9"/>
    <w:rsid w:val="004E462E"/>
    <w:rsid w:val="004E56DC"/>
    <w:rsid w:val="004E76F4"/>
    <w:rsid w:val="004F0B4E"/>
    <w:rsid w:val="004F0B6C"/>
    <w:rsid w:val="004F2078"/>
    <w:rsid w:val="004F4DA3"/>
    <w:rsid w:val="00502773"/>
    <w:rsid w:val="00504651"/>
    <w:rsid w:val="00506557"/>
    <w:rsid w:val="0050677A"/>
    <w:rsid w:val="005108D8"/>
    <w:rsid w:val="005116F9"/>
    <w:rsid w:val="005153A7"/>
    <w:rsid w:val="005154C5"/>
    <w:rsid w:val="005219CF"/>
    <w:rsid w:val="00526C0D"/>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1ACA"/>
    <w:rsid w:val="0060283C"/>
    <w:rsid w:val="00604F14"/>
    <w:rsid w:val="00605F62"/>
    <w:rsid w:val="00611B83"/>
    <w:rsid w:val="00613257"/>
    <w:rsid w:val="00620A71"/>
    <w:rsid w:val="00620D80"/>
    <w:rsid w:val="006234A6"/>
    <w:rsid w:val="00624D23"/>
    <w:rsid w:val="006276C5"/>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AF2"/>
    <w:rsid w:val="006771F9"/>
    <w:rsid w:val="006776D7"/>
    <w:rsid w:val="00681003"/>
    <w:rsid w:val="006817C9"/>
    <w:rsid w:val="00683ECE"/>
    <w:rsid w:val="00695FC2"/>
    <w:rsid w:val="00696949"/>
    <w:rsid w:val="00697052"/>
    <w:rsid w:val="006A46FB"/>
    <w:rsid w:val="006A5E28"/>
    <w:rsid w:val="006A697B"/>
    <w:rsid w:val="006A7988"/>
    <w:rsid w:val="006A7AFF"/>
    <w:rsid w:val="006B1816"/>
    <w:rsid w:val="006B2099"/>
    <w:rsid w:val="006B50CF"/>
    <w:rsid w:val="006B67CF"/>
    <w:rsid w:val="006C03B8"/>
    <w:rsid w:val="006C5EC9"/>
    <w:rsid w:val="006C6059"/>
    <w:rsid w:val="006C7522"/>
    <w:rsid w:val="006D571C"/>
    <w:rsid w:val="006D6F08"/>
    <w:rsid w:val="006E062C"/>
    <w:rsid w:val="006E28B7"/>
    <w:rsid w:val="006E3310"/>
    <w:rsid w:val="006E4E39"/>
    <w:rsid w:val="006E565E"/>
    <w:rsid w:val="006E64B5"/>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055B"/>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8016B"/>
    <w:rsid w:val="00894A88"/>
    <w:rsid w:val="00895386"/>
    <w:rsid w:val="008A21FF"/>
    <w:rsid w:val="008A2CE2"/>
    <w:rsid w:val="008A30AC"/>
    <w:rsid w:val="008A44B8"/>
    <w:rsid w:val="008A51A8"/>
    <w:rsid w:val="008A54C7"/>
    <w:rsid w:val="008A77D8"/>
    <w:rsid w:val="008B0483"/>
    <w:rsid w:val="008B120C"/>
    <w:rsid w:val="008B51A0"/>
    <w:rsid w:val="008B592A"/>
    <w:rsid w:val="008B63B8"/>
    <w:rsid w:val="008B7B5C"/>
    <w:rsid w:val="008C0C99"/>
    <w:rsid w:val="008C2017"/>
    <w:rsid w:val="008C4958"/>
    <w:rsid w:val="008C4BAA"/>
    <w:rsid w:val="008C6AE8"/>
    <w:rsid w:val="008C7573"/>
    <w:rsid w:val="008D34F1"/>
    <w:rsid w:val="008D39D8"/>
    <w:rsid w:val="008D6D1A"/>
    <w:rsid w:val="008E065E"/>
    <w:rsid w:val="008E0927"/>
    <w:rsid w:val="008E1909"/>
    <w:rsid w:val="008F109D"/>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A69"/>
    <w:rsid w:val="0093103F"/>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D46"/>
    <w:rsid w:val="009970DD"/>
    <w:rsid w:val="009A0FBA"/>
    <w:rsid w:val="009A1601"/>
    <w:rsid w:val="009A462D"/>
    <w:rsid w:val="009A5CBA"/>
    <w:rsid w:val="009B1F30"/>
    <w:rsid w:val="009B3AC2"/>
    <w:rsid w:val="009B4DF4"/>
    <w:rsid w:val="009B564E"/>
    <w:rsid w:val="009B7E87"/>
    <w:rsid w:val="009C2A60"/>
    <w:rsid w:val="009C403E"/>
    <w:rsid w:val="009D4FF0"/>
    <w:rsid w:val="009D703C"/>
    <w:rsid w:val="009D718F"/>
    <w:rsid w:val="009E068F"/>
    <w:rsid w:val="009E14E0"/>
    <w:rsid w:val="009E35DB"/>
    <w:rsid w:val="009E47A3"/>
    <w:rsid w:val="009F08F3"/>
    <w:rsid w:val="009F1ECE"/>
    <w:rsid w:val="009F344F"/>
    <w:rsid w:val="00A048A8"/>
    <w:rsid w:val="00A04F49"/>
    <w:rsid w:val="00A07855"/>
    <w:rsid w:val="00A13E54"/>
    <w:rsid w:val="00A17F63"/>
    <w:rsid w:val="00A2193B"/>
    <w:rsid w:val="00A2351A"/>
    <w:rsid w:val="00A249D6"/>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677"/>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E6A"/>
    <w:rsid w:val="00BC0FDC"/>
    <w:rsid w:val="00BC3053"/>
    <w:rsid w:val="00BC4D2E"/>
    <w:rsid w:val="00BD48AC"/>
    <w:rsid w:val="00BD5F1A"/>
    <w:rsid w:val="00BE1234"/>
    <w:rsid w:val="00BE2FA6"/>
    <w:rsid w:val="00BE333F"/>
    <w:rsid w:val="00BE7406"/>
    <w:rsid w:val="00BE7603"/>
    <w:rsid w:val="00BF3279"/>
    <w:rsid w:val="00BF74C7"/>
    <w:rsid w:val="00C015F1"/>
    <w:rsid w:val="00C0173E"/>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7A84"/>
    <w:rsid w:val="00C54995"/>
    <w:rsid w:val="00C54D41"/>
    <w:rsid w:val="00C56496"/>
    <w:rsid w:val="00C60783"/>
    <w:rsid w:val="00C64672"/>
    <w:rsid w:val="00C70697"/>
    <w:rsid w:val="00C72EF4"/>
    <w:rsid w:val="00C75D2F"/>
    <w:rsid w:val="00C767BE"/>
    <w:rsid w:val="00C76963"/>
    <w:rsid w:val="00C76E3C"/>
    <w:rsid w:val="00C81568"/>
    <w:rsid w:val="00C9027A"/>
    <w:rsid w:val="00C9068E"/>
    <w:rsid w:val="00C9363F"/>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15089"/>
    <w:rsid w:val="00D239A7"/>
    <w:rsid w:val="00D23F47"/>
    <w:rsid w:val="00D2503E"/>
    <w:rsid w:val="00D3005B"/>
    <w:rsid w:val="00D36E71"/>
    <w:rsid w:val="00D37D87"/>
    <w:rsid w:val="00D40B33"/>
    <w:rsid w:val="00D4318F"/>
    <w:rsid w:val="00D438BF"/>
    <w:rsid w:val="00D440F8"/>
    <w:rsid w:val="00D46FA5"/>
    <w:rsid w:val="00D546FF"/>
    <w:rsid w:val="00D55AD5"/>
    <w:rsid w:val="00D55B51"/>
    <w:rsid w:val="00D576CA"/>
    <w:rsid w:val="00D60E13"/>
    <w:rsid w:val="00D61AF5"/>
    <w:rsid w:val="00D62CD5"/>
    <w:rsid w:val="00D6435F"/>
    <w:rsid w:val="00D652B5"/>
    <w:rsid w:val="00D66155"/>
    <w:rsid w:val="00D708B0"/>
    <w:rsid w:val="00D70E73"/>
    <w:rsid w:val="00D77B1D"/>
    <w:rsid w:val="00D8021F"/>
    <w:rsid w:val="00D80383"/>
    <w:rsid w:val="00D8203B"/>
    <w:rsid w:val="00D823C6"/>
    <w:rsid w:val="00D85EF7"/>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05B34"/>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0D86"/>
    <w:rsid w:val="00E72EFC"/>
    <w:rsid w:val="00E758EC"/>
    <w:rsid w:val="00E8234C"/>
    <w:rsid w:val="00E83AA9"/>
    <w:rsid w:val="00E85928"/>
    <w:rsid w:val="00E87822"/>
    <w:rsid w:val="00E90395"/>
    <w:rsid w:val="00E90E49"/>
    <w:rsid w:val="00E917F9"/>
    <w:rsid w:val="00E9291C"/>
    <w:rsid w:val="00E93FFE"/>
    <w:rsid w:val="00E94F8A"/>
    <w:rsid w:val="00EA6E0E"/>
    <w:rsid w:val="00EA7A41"/>
    <w:rsid w:val="00EB077B"/>
    <w:rsid w:val="00EB15C1"/>
    <w:rsid w:val="00EB4EA2"/>
    <w:rsid w:val="00EC27C6"/>
    <w:rsid w:val="00EC4207"/>
    <w:rsid w:val="00EC4C96"/>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1625B"/>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0DB"/>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22ACCBF-6F4C-4F8A-B397-81002842C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B15C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EB15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15C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_dlc_DocId xmlns="08b2df90-05d3-4030-90d4-c9feeb4a1cd9">SAQRZK7RPU5V-1-16554</_dlc_DocId>
    <TaxCatchAll xmlns="08b2df90-05d3-4030-90d4-c9feeb4a1cd9">
      <Value>32</Value>
      <Value>31</Value>
      <Value>30</Value>
      <Value>2</Value>
      <Value>1</Value>
    </TaxCatchAll>
    <_dlc_DocIdUrl xmlns="08b2df90-05d3-4030-90d4-c9feeb4a1cd9">
      <Url>https://ericoll.internal.ericsson.com/sites/NSA/_layouts/DocIdRedir.aspx?ID=SAQRZK7RPU5V-1-16554</Url>
      <Description>SAQRZK7RPU5V-1-16554</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460107DC-5761-40F6-8E1B-3112A03859E6}">
  <ds:schemaRefs>
    <ds:schemaRef ds:uri="http://schemas.microsoft.com/office/2006/documentManagement/types"/>
    <ds:schemaRef ds:uri="http://purl.org/dc/dcmitype/"/>
    <ds:schemaRef ds:uri="http://schemas.microsoft.com/office/2006/metadata/properties"/>
    <ds:schemaRef ds:uri="http://purl.org/dc/terms/"/>
    <ds:schemaRef ds:uri="http://schemas.microsoft.com/office/infopath/2007/PartnerControls"/>
    <ds:schemaRef ds:uri="http://www.w3.org/XML/1998/namespace"/>
    <ds:schemaRef ds:uri="d46971d8-f4ed-4cac-a977-cede52d8d47b"/>
    <ds:schemaRef ds:uri="http://schemas.openxmlformats.org/package/2006/metadata/core-properties"/>
    <ds:schemaRef ds:uri="http://schemas.microsoft.com/sharepoint/v4"/>
    <ds:schemaRef ds:uri="08b2df90-05d3-4030-90d4-c9feeb4a1cd9"/>
    <ds:schemaRef ds:uri="http://purl.org/dc/elements/1.1/"/>
  </ds:schemaRefs>
</ds:datastoreItem>
</file>

<file path=customXml/itemProps3.xml><?xml version="1.0" encoding="utf-8"?>
<ds:datastoreItem xmlns:ds="http://schemas.openxmlformats.org/officeDocument/2006/customXml" ds:itemID="{B9A47281-8703-40D2-9A40-5158A79FD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923963EC-B3C8-43E4-81DF-A220D3585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1521</Words>
  <Characters>8671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cp:lastModifiedBy>
  <cp:revision>2</cp:revision>
  <cp:lastPrinted>2008-01-31T06:09:00Z</cp:lastPrinted>
  <dcterms:created xsi:type="dcterms:W3CDTF">2017-02-04T02:27:00Z</dcterms:created>
  <dcterms:modified xsi:type="dcterms:W3CDTF">2017-02-04T02:27:00Z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55cc1d46-7d0f-4cbb-ab8f-3dc437a6df79</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